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35" w:rsidRPr="00862035" w:rsidRDefault="00862035" w:rsidP="00862035">
      <w:pPr>
        <w:tabs>
          <w:tab w:val="left" w:pos="576"/>
          <w:tab w:val="left" w:pos="1146"/>
          <w:tab w:val="left" w:pos="1716"/>
          <w:tab w:val="left" w:pos="2286"/>
          <w:tab w:val="left" w:pos="2856"/>
          <w:tab w:val="left" w:pos="4566"/>
        </w:tabs>
        <w:suppressAutoHyphens/>
        <w:spacing w:before="141"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035" w:rsidRPr="00862035" w:rsidRDefault="00862035" w:rsidP="00862035">
      <w:pPr>
        <w:tabs>
          <w:tab w:val="left" w:pos="576"/>
          <w:tab w:val="left" w:pos="1146"/>
          <w:tab w:val="left" w:pos="1716"/>
          <w:tab w:val="left" w:pos="2286"/>
          <w:tab w:val="left" w:pos="2856"/>
          <w:tab w:val="left" w:pos="4566"/>
        </w:tabs>
        <w:suppressAutoHyphens/>
        <w:spacing w:before="141"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680"/>
      </w:tblGrid>
      <w:tr w:rsidR="00862035" w:rsidRPr="00862035" w:rsidTr="0059017C">
        <w:trPr>
          <w:trHeight w:val="419"/>
        </w:trPr>
        <w:tc>
          <w:tcPr>
            <w:tcW w:w="4320" w:type="dxa"/>
            <w:shd w:val="clear" w:color="auto" w:fill="auto"/>
          </w:tcPr>
          <w:p w:rsidR="00862035" w:rsidRPr="00862035" w:rsidRDefault="00862035" w:rsidP="00862035">
            <w:pPr>
              <w:tabs>
                <w:tab w:val="left" w:pos="3960"/>
              </w:tabs>
              <w:suppressAutoHyphens/>
              <w:spacing w:after="0" w:line="200" w:lineRule="atLeast"/>
              <w:ind w:right="72"/>
              <w:rPr>
                <w:rFonts w:ascii="Tahoma" w:eastAsia="Times New Roman" w:hAnsi="Tahoma" w:cs="Tahoma"/>
                <w:b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>ΝΟΜΟΣ ΑΤΤΙΚΗΣ</w:t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>ΔΗΜΟΣ ΑΙΓΑΛΕΩ</w:t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>Δ/ΝΣΗ ΤΕΧΝΙΚΩΝ ΥΠΗΡΕΣΙΩΝ</w:t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>ΤΜΗΜΑ Η/Μ</w:t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Α.Μ. :  25 /23-4-2021</w:t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Αρ. </w:t>
            </w:r>
            <w:proofErr w:type="spellStart"/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>Πρωτ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>. 15216/23-4-2021</w:t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Κ.Α.: 15.6262.016, 15.6262.017, </w:t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15.6633.002</w:t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CPVς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: 45212290-5</w:t>
            </w:r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>, 24962000-5</w:t>
            </w:r>
            <w:r w:rsidRPr="00862035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862035" w:rsidRPr="00862035" w:rsidRDefault="00862035" w:rsidP="00862035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8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Εργασίες συντήρησης ηλεκτρομηχανολογικού εξοπλισμού κολυμβητηρίου και καθαρισμού κολυμβητικών δεξαμενών</w:t>
            </w:r>
          </w:p>
        </w:tc>
      </w:tr>
    </w:tbl>
    <w:p w:rsidR="00862035" w:rsidRPr="00862035" w:rsidRDefault="00862035" w:rsidP="00862035">
      <w:pPr>
        <w:keepNext/>
        <w:suppressAutoHyphens/>
        <w:spacing w:after="0" w:line="200" w:lineRule="atLeas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  <w:r w:rsidRPr="00862035">
        <w:rPr>
          <w:rFonts w:ascii="Tahoma" w:eastAsia="Times New Roman" w:hAnsi="Tahoma" w:cs="Tahoma"/>
          <w:b/>
          <w:bCs/>
          <w:sz w:val="24"/>
          <w:szCs w:val="24"/>
          <w:u w:val="single"/>
          <w:lang w:eastAsia="zh-CN"/>
        </w:rPr>
        <w:t>ΠΑΡΑΡΤΗΜΑ Γ’</w:t>
      </w:r>
    </w:p>
    <w:p w:rsidR="00862035" w:rsidRPr="00862035" w:rsidRDefault="00862035" w:rsidP="00862035">
      <w:pPr>
        <w:keepNext/>
        <w:suppressAutoHyphens/>
        <w:spacing w:after="0" w:line="200" w:lineRule="atLeas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  <w:r w:rsidRPr="00862035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ΕΝΤΥΠΟ ΟΙΚΟΝΟΜΙΚΗΣ ΠΡΟΣΦΟΡΑΣ</w:t>
      </w:r>
    </w:p>
    <w:p w:rsidR="00862035" w:rsidRPr="00862035" w:rsidRDefault="00862035" w:rsidP="00862035">
      <w:pPr>
        <w:keepNext/>
        <w:suppressAutoHyphens/>
        <w:spacing w:after="0" w:line="20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tbl>
      <w:tblPr>
        <w:tblW w:w="9541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638"/>
        <w:gridCol w:w="2121"/>
        <w:gridCol w:w="199"/>
        <w:gridCol w:w="651"/>
        <w:gridCol w:w="105"/>
        <w:gridCol w:w="204"/>
        <w:gridCol w:w="646"/>
        <w:gridCol w:w="37"/>
        <w:gridCol w:w="537"/>
        <w:gridCol w:w="703"/>
        <w:gridCol w:w="2183"/>
        <w:gridCol w:w="227"/>
        <w:gridCol w:w="1190"/>
        <w:gridCol w:w="40"/>
        <w:gridCol w:w="40"/>
        <w:gridCol w:w="20"/>
      </w:tblGrid>
      <w:tr w:rsidR="00862035" w:rsidRPr="00862035" w:rsidTr="0059017C">
        <w:trPr>
          <w:trHeight w:val="255"/>
        </w:trPr>
        <w:tc>
          <w:tcPr>
            <w:tcW w:w="95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ΠΡΟΥΠΟΛΟΓΙΣΜΟΣ ΠΡΟΣΦΟΡΑΣ ΕΚΤΕΛΕΣΗΣ  ΕΡΓΑΣΙΩΝ</w:t>
            </w:r>
          </w:p>
        </w:tc>
      </w:tr>
      <w:tr w:rsidR="00862035" w:rsidRPr="00862035" w:rsidTr="0059017C">
        <w:trPr>
          <w:trHeight w:val="48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ΜΟΝ. ΜΕΤΡ.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ΠΟΣΟΤ.</w:t>
            </w:r>
          </w:p>
        </w:tc>
        <w:tc>
          <w:tcPr>
            <w:tcW w:w="12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ΤΙΜΗ ΜΟΝ. (</w:t>
            </w: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Αριθμητικα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ΤΙΜΗ ΜΟΝ. (Ολογράφως)</w:t>
            </w: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ΜΕΡ. ΔΑΠ.</w:t>
            </w:r>
          </w:p>
        </w:tc>
      </w:tr>
      <w:tr w:rsidR="00862035" w:rsidRPr="00862035" w:rsidTr="0059017C">
        <w:trPr>
          <w:trHeight w:val="96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Συντήρηση Η/Μ εξοπλισμού (Μηχανοστάσιο κολυμβητηρίου)                </w:t>
            </w:r>
            <w:r w:rsidRPr="008620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K.A.: 15.6262.016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μήνες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144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Εργασίες συντήρησης εξοπλισμού, καθαρισμού κολυμβητικών δεξαμενών, ελέγχου και διατήρησης ποιότητας νερού                </w:t>
            </w:r>
            <w:r w:rsidRPr="008620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K.A.: 15.6262.017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μήνες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25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δαπάνη εργασιών προ ΦΠΑ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638" w:type="dxa"/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  <w:p w:rsidR="00862035" w:rsidRPr="00862035" w:rsidRDefault="00862035" w:rsidP="008620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62035" w:rsidRPr="00862035" w:rsidTr="0059017C">
        <w:trPr>
          <w:trHeight w:val="255"/>
        </w:trPr>
        <w:tc>
          <w:tcPr>
            <w:tcW w:w="95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ΠΡΟΥΠΟΛΟΓΙΣΜΟΣ ΠΡΟΣΦΟΡΑΣ ΠΡΟΜΗΘΕΙΑΣ ΧΗΜΙΚΩΝ     K.A.: 15.6633.002</w:t>
            </w:r>
          </w:p>
        </w:tc>
      </w:tr>
      <w:tr w:rsidR="00862035" w:rsidRPr="00862035" w:rsidTr="0059017C">
        <w:trPr>
          <w:trHeight w:val="48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ΜΟΝ. ΜΕΤΡ. 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ΠΟΣΟΤ.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ΤΙΜΗ ΜΟΝ. (</w:t>
            </w: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Αριθμητικα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ΤΙΜΗ ΜΟΝ. (Ολογράφως)</w:t>
            </w: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ΜΕΡ. ΔΑΠ.</w:t>
            </w:r>
          </w:p>
        </w:tc>
      </w:tr>
      <w:tr w:rsidR="00862035" w:rsidRPr="00862035" w:rsidTr="0059017C">
        <w:trPr>
          <w:trHeight w:val="48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Υποχλωριώδες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Νάτριο (χλώριο υγρό)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Kgr</w:t>
            </w:r>
            <w:proofErr w:type="spellEnd"/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18.000,15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Χλώριο κόκκοι 56%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Kgr</w:t>
            </w:r>
            <w:proofErr w:type="spellEnd"/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1.600,00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Χλώριο κόκκοι 90%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Kgr</w:t>
            </w:r>
            <w:proofErr w:type="spellEnd"/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900,00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Αλγειοκτόνο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υγρό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512,00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49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PH MINUS Υγρό - Θειικό οξύ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Kgr</w:t>
            </w:r>
            <w:proofErr w:type="spellEnd"/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1.200,00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Υδροχλωρικό οξύ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Kgr</w:t>
            </w:r>
            <w:proofErr w:type="spellEnd"/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700,00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Κροκυδωτικό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Υγρό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700,00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Μεταδιθειώδες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Νάτριο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Kgr</w:t>
            </w:r>
            <w:proofErr w:type="spellEnd"/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350,00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49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lastRenderedPageBreak/>
              <w:t>9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Ταμπλέτα μέτρησης ελεύθερου χλωρίου Νο1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τεμ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900,00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49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Ταμπλέτα μέτρησης συνολικού χλωρίου Νο3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τεμ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411,00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Ταμπλέτα μέτρησης PH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τεμ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1.000,00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rPr>
          <w:trHeight w:val="28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</w:p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Δαπάνη προμήθειας  προ ΦΠΑ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>……………</w:t>
            </w:r>
          </w:p>
        </w:tc>
      </w:tr>
      <w:tr w:rsidR="00862035" w:rsidRPr="00862035" w:rsidTr="0059017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5"/>
        </w:trPr>
        <w:tc>
          <w:tcPr>
            <w:tcW w:w="9441" w:type="dxa"/>
            <w:gridSpan w:val="13"/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62035" w:rsidRPr="00862035" w:rsidTr="0059017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5"/>
        </w:trPr>
        <w:tc>
          <w:tcPr>
            <w:tcW w:w="9441" w:type="dxa"/>
            <w:gridSpan w:val="13"/>
            <w:shd w:val="clear" w:color="auto" w:fill="auto"/>
            <w:vAlign w:val="bottom"/>
          </w:tcPr>
          <w:p w:rsidR="00862035" w:rsidRPr="00862035" w:rsidRDefault="00862035" w:rsidP="00862035">
            <w:pPr>
              <w:tabs>
                <w:tab w:val="left" w:pos="576"/>
                <w:tab w:val="left" w:pos="1146"/>
                <w:tab w:val="left" w:pos="1716"/>
                <w:tab w:val="left" w:pos="2286"/>
                <w:tab w:val="left" w:pos="2856"/>
                <w:tab w:val="left" w:pos="4566"/>
              </w:tabs>
              <w:suppressAutoHyphens/>
              <w:spacing w:before="141"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(Οι ποσότητες του παραπάνω πίνακα για την προμήθεια των χημικών, είναι ενδεικτικές και μπορούν να αλλάξουν ανάλογα με τις </w:t>
            </w:r>
            <w:proofErr w:type="spellStart"/>
            <w:r w:rsidRPr="008620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προκύπτουσες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ανάγκες της υπηρεσίας κατά την διάρκεια της σύμβασης, χωρίς όμως υπέρβαση του συνολικού ποσού της συμβατικής δαπάνης της προμήθειας.)</w:t>
            </w:r>
          </w:p>
          <w:p w:rsidR="00862035" w:rsidRPr="00862035" w:rsidRDefault="00862035" w:rsidP="008620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62035" w:rsidRPr="00862035" w:rsidTr="0059017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638" w:type="dxa"/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0" w:type="dxa"/>
            <w:shd w:val="clear" w:color="auto" w:fill="auto"/>
          </w:tcPr>
          <w:p w:rsidR="00862035" w:rsidRPr="00862035" w:rsidRDefault="00862035" w:rsidP="00862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62035" w:rsidRPr="00862035" w:rsidTr="0059017C">
        <w:trPr>
          <w:trHeight w:val="255"/>
        </w:trPr>
        <w:tc>
          <w:tcPr>
            <w:tcW w:w="95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ΣΥΝΟΛΙΚΗ ΔΑΠΑΝΗ ΠΡΟΣΦΟΡΑΣ</w:t>
            </w:r>
          </w:p>
        </w:tc>
      </w:tr>
      <w:tr w:rsidR="00862035" w:rsidRPr="00862035" w:rsidTr="0059017C">
        <w:trPr>
          <w:trHeight w:val="255"/>
        </w:trPr>
        <w:tc>
          <w:tcPr>
            <w:tcW w:w="5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(Ολογράφως)</w:t>
            </w:r>
          </w:p>
        </w:tc>
        <w:tc>
          <w:tcPr>
            <w:tcW w:w="15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(</w:t>
            </w:r>
            <w:proofErr w:type="spellStart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Αριθμητικα</w:t>
            </w:r>
            <w:proofErr w:type="spellEnd"/>
            <w:r w:rsidRPr="0086203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)</w:t>
            </w:r>
          </w:p>
        </w:tc>
      </w:tr>
      <w:tr w:rsidR="00862035" w:rsidRPr="00862035" w:rsidTr="0059017C">
        <w:trPr>
          <w:trHeight w:val="255"/>
        </w:trPr>
        <w:tc>
          <w:tcPr>
            <w:tcW w:w="5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ΔΑΠΑΝΗ ΕΡΓΑΣΙΩΝ</w:t>
            </w:r>
          </w:p>
        </w:tc>
        <w:tc>
          <w:tcPr>
            <w:tcW w:w="2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 xml:space="preserve"> 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………………</w:t>
            </w:r>
          </w:p>
        </w:tc>
      </w:tr>
      <w:tr w:rsidR="00862035" w:rsidRPr="00862035" w:rsidTr="0059017C">
        <w:trPr>
          <w:trHeight w:val="255"/>
        </w:trPr>
        <w:tc>
          <w:tcPr>
            <w:tcW w:w="95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862035" w:rsidRPr="00862035" w:rsidTr="0059017C">
        <w:trPr>
          <w:trHeight w:val="255"/>
        </w:trPr>
        <w:tc>
          <w:tcPr>
            <w:tcW w:w="5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ΔΑΠΑΝΗ ΠΡΟΜΗΘΕΙΑΣ</w:t>
            </w:r>
          </w:p>
        </w:tc>
        <w:tc>
          <w:tcPr>
            <w:tcW w:w="2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 xml:space="preserve"> 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………………</w:t>
            </w:r>
          </w:p>
        </w:tc>
      </w:tr>
      <w:tr w:rsidR="00862035" w:rsidRPr="00862035" w:rsidTr="0059017C">
        <w:trPr>
          <w:trHeight w:val="255"/>
        </w:trPr>
        <w:tc>
          <w:tcPr>
            <w:tcW w:w="95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862035" w:rsidRPr="00862035" w:rsidTr="0059017C">
        <w:trPr>
          <w:trHeight w:val="255"/>
        </w:trPr>
        <w:tc>
          <w:tcPr>
            <w:tcW w:w="5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ΣΥΝΟΛΙΚΗ ΔΑΠΑΝΗ ΠΡΟ ΦΠΑ 24%</w:t>
            </w:r>
          </w:p>
        </w:tc>
        <w:tc>
          <w:tcPr>
            <w:tcW w:w="2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 xml:space="preserve"> 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………………</w:t>
            </w:r>
          </w:p>
        </w:tc>
      </w:tr>
      <w:tr w:rsidR="00862035" w:rsidRPr="00862035" w:rsidTr="0059017C">
        <w:trPr>
          <w:trHeight w:val="255"/>
        </w:trPr>
        <w:tc>
          <w:tcPr>
            <w:tcW w:w="95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862035" w:rsidRPr="00862035" w:rsidTr="0059017C">
        <w:trPr>
          <w:trHeight w:val="255"/>
        </w:trPr>
        <w:tc>
          <w:tcPr>
            <w:tcW w:w="5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……………..</w:t>
            </w:r>
          </w:p>
        </w:tc>
      </w:tr>
      <w:tr w:rsidR="00862035" w:rsidRPr="00862035" w:rsidTr="0059017C">
        <w:trPr>
          <w:trHeight w:val="255"/>
        </w:trPr>
        <w:tc>
          <w:tcPr>
            <w:tcW w:w="95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862035" w:rsidRPr="00862035" w:rsidTr="0059017C">
        <w:trPr>
          <w:trHeight w:val="255"/>
        </w:trPr>
        <w:tc>
          <w:tcPr>
            <w:tcW w:w="5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ΣΥΝΟΛΙΚΗ ΔΑΠΑΝΗ ΜΕ ΦΠΑ 24%</w:t>
            </w:r>
          </w:p>
        </w:tc>
        <w:tc>
          <w:tcPr>
            <w:tcW w:w="2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862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  <w:p w:rsidR="00862035" w:rsidRPr="00862035" w:rsidRDefault="00862035" w:rsidP="0086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35" w:rsidRPr="00862035" w:rsidRDefault="00862035" w:rsidP="00862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20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…………….</w:t>
            </w:r>
          </w:p>
        </w:tc>
      </w:tr>
    </w:tbl>
    <w:p w:rsidR="00862035" w:rsidRPr="00862035" w:rsidRDefault="00862035" w:rsidP="00862035">
      <w:pPr>
        <w:suppressAutoHyphens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7827" w:rsidRDefault="00F87827">
      <w:bookmarkStart w:id="0" w:name="_GoBack"/>
      <w:bookmarkEnd w:id="0"/>
    </w:p>
    <w:sectPr w:rsidR="00F878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35"/>
    <w:rsid w:val="00862035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FFE7-CB71-4D16-81E7-4068BAD2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Strongili</dc:creator>
  <cp:keywords/>
  <dc:description/>
  <cp:lastModifiedBy>Evi Strongili</cp:lastModifiedBy>
  <cp:revision>1</cp:revision>
  <dcterms:created xsi:type="dcterms:W3CDTF">2021-05-11T10:53:00Z</dcterms:created>
  <dcterms:modified xsi:type="dcterms:W3CDTF">2021-05-11T10:53:00Z</dcterms:modified>
</cp:coreProperties>
</file>