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15" w:rsidRPr="001D7429" w:rsidRDefault="000E09EF" w:rsidP="001D7429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-443865</wp:posOffset>
            </wp:positionV>
            <wp:extent cx="770255" cy="734695"/>
            <wp:effectExtent l="0" t="0" r="0" b="8255"/>
            <wp:wrapNone/>
            <wp:docPr id="2" name="Εικόνα 3" descr="ÊåíôñéêÞ Óåëßäá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ÊåíôñéêÞ Óåëßäá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34"/>
        <w:tblW w:w="10598" w:type="dxa"/>
        <w:tblLook w:val="04A0" w:firstRow="1" w:lastRow="0" w:firstColumn="1" w:lastColumn="0" w:noHBand="0" w:noVBand="1"/>
      </w:tblPr>
      <w:tblGrid>
        <w:gridCol w:w="4615"/>
        <w:gridCol w:w="5983"/>
      </w:tblGrid>
      <w:tr w:rsidR="004B0469" w:rsidRPr="001D0FAA" w:rsidTr="00EB27AC">
        <w:trPr>
          <w:trHeight w:val="181"/>
        </w:trPr>
        <w:tc>
          <w:tcPr>
            <w:tcW w:w="4615" w:type="dxa"/>
          </w:tcPr>
          <w:p w:rsidR="004B0469" w:rsidRPr="001D0FAA" w:rsidRDefault="004B0469" w:rsidP="004B0469">
            <w:pPr>
              <w:pStyle w:val="Standard"/>
              <w:tabs>
                <w:tab w:val="center" w:pos="1701"/>
              </w:tabs>
              <w:spacing w:line="200" w:lineRule="exact"/>
              <w:ind w:left="0" w:right="113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D0FAA">
              <w:rPr>
                <w:rFonts w:ascii="Bookman Old Style" w:hAnsi="Bookman Old Style"/>
                <w:b/>
                <w:sz w:val="18"/>
                <w:szCs w:val="18"/>
              </w:rPr>
              <w:t xml:space="preserve">ΕΛΛΗΝΙΚΗ ΔΗΜΟΚΡΑΤΙΑ                                                     </w:t>
            </w:r>
          </w:p>
        </w:tc>
        <w:tc>
          <w:tcPr>
            <w:tcW w:w="5983" w:type="dxa"/>
          </w:tcPr>
          <w:p w:rsidR="004B0469" w:rsidRPr="009B56CA" w:rsidRDefault="004B0469" w:rsidP="004B0469">
            <w:pPr>
              <w:pStyle w:val="Standard"/>
              <w:tabs>
                <w:tab w:val="center" w:pos="1701"/>
              </w:tabs>
              <w:spacing w:line="200" w:lineRule="exact"/>
              <w:ind w:left="57" w:right="113"/>
              <w:jc w:val="center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1D0FAA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    </w:t>
            </w:r>
            <w:r w:rsidRPr="001D0FAA">
              <w:rPr>
                <w:rFonts w:ascii="Bookman Old Style" w:hAnsi="Bookman Old Style"/>
                <w:b/>
                <w:sz w:val="18"/>
                <w:szCs w:val="18"/>
              </w:rPr>
              <w:t xml:space="preserve">     </w:t>
            </w:r>
            <w:r w:rsidRPr="001D0FAA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   </w:t>
            </w:r>
            <w:r w:rsidRPr="001D0FAA">
              <w:rPr>
                <w:rFonts w:ascii="Bookman Old Style" w:hAnsi="Bookman Old Style"/>
                <w:b/>
                <w:sz w:val="18"/>
                <w:szCs w:val="18"/>
              </w:rPr>
              <w:t xml:space="preserve">  </w:t>
            </w:r>
            <w:r w:rsidR="00C2651E">
              <w:rPr>
                <w:rFonts w:ascii="Bookman Old Style" w:hAnsi="Bookman Old Style"/>
                <w:b/>
                <w:sz w:val="18"/>
                <w:szCs w:val="18"/>
              </w:rPr>
              <w:t xml:space="preserve">     </w:t>
            </w:r>
            <w:r w:rsidRPr="001D0FAA">
              <w:rPr>
                <w:rFonts w:ascii="Bookman Old Style" w:hAnsi="Bookman Old Style"/>
                <w:b/>
                <w:sz w:val="18"/>
                <w:szCs w:val="18"/>
              </w:rPr>
              <w:t xml:space="preserve">     </w:t>
            </w:r>
            <w:r w:rsidR="00A642CF">
              <w:rPr>
                <w:rFonts w:ascii="Bookman Old Style" w:hAnsi="Bookman Old Style"/>
                <w:b/>
                <w:sz w:val="18"/>
                <w:szCs w:val="18"/>
              </w:rPr>
              <w:t xml:space="preserve">                                   </w:t>
            </w:r>
            <w:r w:rsidR="009B56CA">
              <w:rPr>
                <w:rFonts w:ascii="Bookman Old Style" w:hAnsi="Bookman Old Style"/>
                <w:b/>
                <w:sz w:val="18"/>
                <w:szCs w:val="18"/>
              </w:rPr>
              <w:t xml:space="preserve">Αιγάλεω, </w:t>
            </w:r>
            <w:r w:rsidR="009B56CA">
              <w:rPr>
                <w:rFonts w:ascii="Bookman Old Style" w:hAnsi="Bookman Old Style"/>
                <w:b/>
                <w:sz w:val="18"/>
                <w:szCs w:val="18"/>
                <w:lang w:val="en-GB"/>
              </w:rPr>
              <w:t>26</w:t>
            </w:r>
            <w:r w:rsidR="009B56CA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r w:rsidR="00A642CF"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="009B56CA">
              <w:rPr>
                <w:rFonts w:ascii="Bookman Old Style" w:hAnsi="Bookman Old Style"/>
                <w:b/>
                <w:sz w:val="18"/>
                <w:szCs w:val="18"/>
              </w:rPr>
              <w:t>7.202</w:t>
            </w:r>
            <w:r w:rsidR="009B56CA">
              <w:rPr>
                <w:rFonts w:ascii="Bookman Old Style" w:hAnsi="Bookman Old Style"/>
                <w:b/>
                <w:sz w:val="18"/>
                <w:szCs w:val="18"/>
                <w:lang w:val="en-GB"/>
              </w:rPr>
              <w:t>1</w:t>
            </w:r>
          </w:p>
        </w:tc>
      </w:tr>
      <w:tr w:rsidR="004B0469" w:rsidRPr="001D0FAA" w:rsidTr="00EB27AC">
        <w:trPr>
          <w:trHeight w:val="223"/>
        </w:trPr>
        <w:tc>
          <w:tcPr>
            <w:tcW w:w="4615" w:type="dxa"/>
          </w:tcPr>
          <w:p w:rsidR="004B0469" w:rsidRPr="001D0FAA" w:rsidRDefault="004B0469" w:rsidP="004B0469">
            <w:pPr>
              <w:pStyle w:val="Standard"/>
              <w:tabs>
                <w:tab w:val="center" w:pos="1701"/>
              </w:tabs>
              <w:spacing w:line="200" w:lineRule="exact"/>
              <w:ind w:left="0" w:right="113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D0FAA">
              <w:rPr>
                <w:rFonts w:ascii="Bookman Old Style" w:hAnsi="Bookman Old Style"/>
                <w:b/>
                <w:sz w:val="18"/>
                <w:szCs w:val="18"/>
              </w:rPr>
              <w:t xml:space="preserve">ΝΟΜΟΣ ΑΤΤΙΚΗΣ                                                                                 </w:t>
            </w:r>
          </w:p>
        </w:tc>
        <w:tc>
          <w:tcPr>
            <w:tcW w:w="5983" w:type="dxa"/>
          </w:tcPr>
          <w:p w:rsidR="004B0469" w:rsidRPr="001D0FAA" w:rsidRDefault="004B0469" w:rsidP="004B0469">
            <w:pPr>
              <w:pStyle w:val="Standard"/>
              <w:tabs>
                <w:tab w:val="center" w:pos="1701"/>
              </w:tabs>
              <w:spacing w:line="200" w:lineRule="exact"/>
              <w:ind w:left="57" w:right="113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1D0FAA">
              <w:rPr>
                <w:rFonts w:ascii="Bookman Old Style" w:hAnsi="Bookman Old Style"/>
                <w:b/>
                <w:sz w:val="18"/>
                <w:szCs w:val="18"/>
              </w:rPr>
              <w:t xml:space="preserve">               </w:t>
            </w:r>
            <w:r w:rsidRPr="001D0FAA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        </w:t>
            </w:r>
          </w:p>
        </w:tc>
      </w:tr>
      <w:tr w:rsidR="004B0469" w:rsidRPr="001D0FAA" w:rsidTr="00EB27AC">
        <w:trPr>
          <w:trHeight w:val="223"/>
        </w:trPr>
        <w:tc>
          <w:tcPr>
            <w:tcW w:w="4615" w:type="dxa"/>
          </w:tcPr>
          <w:p w:rsidR="004B0469" w:rsidRPr="001D0FAA" w:rsidRDefault="004B0469" w:rsidP="004B0469">
            <w:pPr>
              <w:pStyle w:val="Standard"/>
              <w:tabs>
                <w:tab w:val="center" w:pos="1701"/>
              </w:tabs>
              <w:spacing w:line="200" w:lineRule="exact"/>
              <w:ind w:left="0" w:right="113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D0FAA">
              <w:rPr>
                <w:rFonts w:ascii="Bookman Old Style" w:hAnsi="Bookman Old Style"/>
                <w:b/>
                <w:sz w:val="18"/>
                <w:szCs w:val="18"/>
              </w:rPr>
              <w:t xml:space="preserve">ΔΗΜΟΣ ΑΙΓΑΛΕΩ                                                          </w:t>
            </w:r>
          </w:p>
        </w:tc>
        <w:tc>
          <w:tcPr>
            <w:tcW w:w="5983" w:type="dxa"/>
          </w:tcPr>
          <w:p w:rsidR="004B0469" w:rsidRPr="001D0FAA" w:rsidRDefault="004B0469" w:rsidP="004B0469">
            <w:pPr>
              <w:pStyle w:val="Standard"/>
              <w:tabs>
                <w:tab w:val="center" w:pos="1701"/>
              </w:tabs>
              <w:spacing w:line="200" w:lineRule="exact"/>
              <w:ind w:left="57" w:right="113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A642CF" w:rsidRDefault="00A642CF" w:rsidP="00A642CF">
      <w:pPr>
        <w:tabs>
          <w:tab w:val="left" w:pos="5812"/>
        </w:tabs>
        <w:spacing w:after="0" w:line="200" w:lineRule="exact"/>
        <w:rPr>
          <w:rFonts w:ascii="Bookman Old Style" w:eastAsia="Times New Roman" w:hAnsi="Bookman Old Style"/>
          <w:b/>
          <w:bCs/>
          <w:sz w:val="18"/>
          <w:szCs w:val="18"/>
          <w:u w:val="single"/>
          <w:lang w:eastAsia="el-GR"/>
        </w:rPr>
      </w:pPr>
    </w:p>
    <w:p w:rsidR="00A642CF" w:rsidRDefault="00A642CF" w:rsidP="00A642CF">
      <w:pPr>
        <w:tabs>
          <w:tab w:val="left" w:pos="5812"/>
        </w:tabs>
        <w:spacing w:after="0" w:line="200" w:lineRule="exact"/>
        <w:jc w:val="center"/>
        <w:rPr>
          <w:rFonts w:ascii="Bookman Old Style" w:eastAsia="Times New Roman" w:hAnsi="Bookman Old Style"/>
          <w:b/>
          <w:bCs/>
          <w:sz w:val="18"/>
          <w:szCs w:val="18"/>
          <w:u w:val="single"/>
          <w:lang w:eastAsia="el-GR"/>
        </w:rPr>
      </w:pPr>
    </w:p>
    <w:p w:rsidR="00407E0C" w:rsidRPr="001D0FAA" w:rsidRDefault="00F74E22" w:rsidP="00A642CF">
      <w:pPr>
        <w:tabs>
          <w:tab w:val="left" w:pos="5812"/>
        </w:tabs>
        <w:spacing w:after="0" w:line="200" w:lineRule="exact"/>
        <w:jc w:val="center"/>
        <w:rPr>
          <w:rFonts w:ascii="Bookman Old Style" w:eastAsia="Times New Roman" w:hAnsi="Bookman Old Style"/>
          <w:b/>
          <w:bCs/>
          <w:sz w:val="18"/>
          <w:szCs w:val="18"/>
          <w:u w:val="single"/>
          <w:lang w:eastAsia="el-GR"/>
        </w:rPr>
      </w:pPr>
      <w:r w:rsidRPr="001D0FAA">
        <w:rPr>
          <w:rFonts w:ascii="Bookman Old Style" w:eastAsia="Times New Roman" w:hAnsi="Bookman Old Style"/>
          <w:b/>
          <w:bCs/>
          <w:sz w:val="18"/>
          <w:szCs w:val="18"/>
          <w:u w:val="single"/>
          <w:lang w:eastAsia="el-GR"/>
        </w:rPr>
        <w:t>ΔΕΛΤΙΟ ΤΥΠΟΥ</w:t>
      </w:r>
    </w:p>
    <w:p w:rsidR="00407E0C" w:rsidRPr="001D0FAA" w:rsidRDefault="003B79EB" w:rsidP="00A372B8">
      <w:pPr>
        <w:spacing w:after="0" w:line="200" w:lineRule="exact"/>
        <w:rPr>
          <w:rFonts w:ascii="Bookman Old Style" w:eastAsia="Times New Roman" w:hAnsi="Bookman Old Style"/>
          <w:b/>
          <w:sz w:val="18"/>
          <w:szCs w:val="18"/>
          <w:lang w:eastAsia="el-GR"/>
        </w:rPr>
      </w:pPr>
      <w:r w:rsidRPr="001D0FAA">
        <w:rPr>
          <w:rFonts w:ascii="Bookman Old Style" w:eastAsia="Times New Roman" w:hAnsi="Bookman Old Style"/>
          <w:sz w:val="18"/>
          <w:szCs w:val="18"/>
          <w:lang w:eastAsia="el-GR"/>
        </w:rPr>
        <w:t xml:space="preserve"> </w:t>
      </w:r>
    </w:p>
    <w:p w:rsidR="00C56002" w:rsidRPr="00C56002" w:rsidRDefault="00407E0C" w:rsidP="00A372B8">
      <w:pPr>
        <w:tabs>
          <w:tab w:val="left" w:pos="5812"/>
        </w:tabs>
        <w:spacing w:before="120" w:after="0" w:line="200" w:lineRule="exact"/>
        <w:jc w:val="both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  <w:bookmarkStart w:id="0" w:name="_GoBack"/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Ο</w:t>
      </w:r>
      <w:r w:rsidR="00E95357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Δήμος Αιγάλεω</w:t>
      </w:r>
      <w:r w:rsidR="00855B53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 w:rsidR="00472FBB">
        <w:rPr>
          <w:rFonts w:ascii="Bookman Old Style" w:eastAsia="Times New Roman" w:hAnsi="Bookman Old Style"/>
          <w:bCs/>
          <w:sz w:val="18"/>
          <w:szCs w:val="18"/>
          <w:lang w:eastAsia="el-GR"/>
        </w:rPr>
        <w:t>ενημερώνει</w:t>
      </w:r>
      <w:r w:rsidR="007B4638" w:rsidRPr="007B4638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 w:rsidR="007B4638">
        <w:rPr>
          <w:rFonts w:ascii="Bookman Old Style" w:eastAsia="Times New Roman" w:hAnsi="Bookman Old Style"/>
          <w:bCs/>
          <w:sz w:val="18"/>
          <w:szCs w:val="18"/>
          <w:lang w:eastAsia="el-GR"/>
        </w:rPr>
        <w:t>ότι</w:t>
      </w:r>
      <w:r w:rsidR="00C56002" w:rsidRPr="00C56002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 w:rsidR="00C56002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επεκτείνεται η ρύθμιση που αφορά στην επανασύνδεση του ηλεκτρικού ρεύματος για ευάλωτα νοικοκυριά, τα οποία έχουν αποσυνδεθεί από το δίκτυο παροχής ηλεκτρικής ενέργειας λόγω ληξιπρόθεσμων οφειλών. </w:t>
      </w:r>
    </w:p>
    <w:p w:rsidR="00A719B7" w:rsidRPr="001D0FAA" w:rsidRDefault="00590081" w:rsidP="00466C3D">
      <w:pPr>
        <w:tabs>
          <w:tab w:val="left" w:pos="5812"/>
        </w:tabs>
        <w:spacing w:before="120" w:after="0" w:line="200" w:lineRule="exact"/>
        <w:jc w:val="both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  <w:r>
        <w:rPr>
          <w:rFonts w:ascii="Bookman Old Style" w:eastAsia="Times New Roman" w:hAnsi="Bookman Old Style"/>
          <w:bCs/>
          <w:sz w:val="18"/>
          <w:szCs w:val="18"/>
          <w:lang w:eastAsia="el-GR"/>
        </w:rPr>
        <w:t>Συγκεκριμένα,</w:t>
      </w:r>
      <w:r w:rsidR="007B4638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σύμφωνα </w:t>
      </w:r>
      <w:r w:rsidR="007B4638">
        <w:rPr>
          <w:rFonts w:ascii="Bookman Old Style" w:eastAsia="Times New Roman" w:hAnsi="Bookman Old Style"/>
          <w:bCs/>
          <w:sz w:val="18"/>
          <w:szCs w:val="18"/>
          <w:lang w:eastAsia="el-GR"/>
        </w:rPr>
        <w:t>με την</w:t>
      </w:r>
      <w:r w:rsidR="00466C3D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τροποποίηση της</w:t>
      </w:r>
      <w:r w:rsidR="00DF5B15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υπό στοιχεία</w:t>
      </w:r>
      <w:r w:rsidR="00466C3D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 w:rsidR="00872F52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ΥΠΕΝ/ΔΗΕ/70697/861</w:t>
      </w:r>
      <w:r w:rsidR="00477839">
        <w:rPr>
          <w:rFonts w:ascii="Bookman Old Style" w:eastAsia="Times New Roman" w:hAnsi="Bookman Old Style"/>
          <w:bCs/>
          <w:sz w:val="18"/>
          <w:szCs w:val="18"/>
          <w:lang w:eastAsia="el-GR"/>
        </w:rPr>
        <w:t>/</w:t>
      </w:r>
      <w:r w:rsidR="00466C3D">
        <w:rPr>
          <w:rFonts w:ascii="Bookman Old Style" w:eastAsia="Times New Roman" w:hAnsi="Bookman Old Style"/>
          <w:bCs/>
          <w:sz w:val="18"/>
          <w:szCs w:val="18"/>
          <w:lang w:eastAsia="el-GR"/>
        </w:rPr>
        <w:t>14.07.</w:t>
      </w:r>
      <w:r w:rsidR="00477839">
        <w:rPr>
          <w:rFonts w:ascii="Bookman Old Style" w:eastAsia="Times New Roman" w:hAnsi="Bookman Old Style"/>
          <w:bCs/>
          <w:sz w:val="18"/>
          <w:szCs w:val="18"/>
          <w:lang w:eastAsia="el-GR"/>
        </w:rPr>
        <w:t>2020</w:t>
      </w:r>
      <w:r w:rsidR="00872F52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 w:rsidR="00466C3D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κοινής </w:t>
      </w:r>
      <w:r w:rsidR="00BF409F">
        <w:rPr>
          <w:rFonts w:ascii="Bookman Old Style" w:eastAsia="Times New Roman" w:hAnsi="Bookman Old Style"/>
          <w:bCs/>
          <w:sz w:val="18"/>
          <w:szCs w:val="18"/>
          <w:lang w:eastAsia="el-GR"/>
        </w:rPr>
        <w:t>απόφαση</w:t>
      </w:r>
      <w:r w:rsidR="00466C3D">
        <w:rPr>
          <w:rFonts w:ascii="Bookman Old Style" w:eastAsia="Times New Roman" w:hAnsi="Bookman Old Style"/>
          <w:bCs/>
          <w:sz w:val="18"/>
          <w:szCs w:val="18"/>
          <w:lang w:eastAsia="el-GR"/>
        </w:rPr>
        <w:t>ς</w:t>
      </w:r>
      <w:r w:rsidR="00BF409F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των υπουργ</w:t>
      </w:r>
      <w:r w:rsidR="00BF409F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ών</w:t>
      </w:r>
      <w:r w:rsidR="00CF2F2F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 w:rsidR="00FB24F6">
        <w:rPr>
          <w:rFonts w:ascii="Bookman Old Style" w:eastAsia="Times New Roman" w:hAnsi="Bookman Old Style"/>
          <w:bCs/>
          <w:sz w:val="18"/>
          <w:szCs w:val="18"/>
          <w:lang w:eastAsia="el-GR"/>
        </w:rPr>
        <w:t>Οικονομικών και Περιβάλλοντος και Ενέργειας</w:t>
      </w:r>
      <w:r w:rsidR="00872F52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 w:rsidR="00BF409F">
        <w:rPr>
          <w:rFonts w:ascii="Bookman Old Style" w:eastAsia="Times New Roman" w:hAnsi="Bookman Old Style"/>
          <w:bCs/>
          <w:sz w:val="18"/>
          <w:szCs w:val="18"/>
          <w:lang w:eastAsia="el-GR"/>
        </w:rPr>
        <w:t>προβλέπεται η</w:t>
      </w:r>
      <w:r w:rsidR="00BF0234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χορήγηση</w:t>
      </w:r>
      <w:r w:rsidR="00872F52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 w:rsidR="00A905B7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εφάπαξ</w:t>
      </w:r>
      <w:r w:rsidR="00872F52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 w:rsidR="00A905B7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ειδικού</w:t>
      </w:r>
      <w:r w:rsidR="00872F52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 w:rsidR="00A905B7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βοηθήματος</w:t>
      </w:r>
      <w:r w:rsidR="00872F52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για την επανασύνδεση παροχών ηλεκτρικού ρεύματος, δυνάμει του άρ</w:t>
      </w:r>
      <w:r w:rsidR="00477839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θρου 36 του ν. 4508/2017, </w:t>
      </w:r>
      <w:r w:rsidR="00872F52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όπως </w:t>
      </w:r>
      <w:r w:rsidR="00A905B7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τροποποιήθηκε</w:t>
      </w:r>
      <w:r w:rsidR="00872F52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και ισχύει</w:t>
      </w:r>
      <w:r w:rsidR="00477839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(Β’ 3088)</w:t>
      </w:r>
      <w:r w:rsidR="00872F52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.</w:t>
      </w:r>
    </w:p>
    <w:p w:rsidR="00B0393D" w:rsidRDefault="00303091" w:rsidP="00BF0234">
      <w:pPr>
        <w:tabs>
          <w:tab w:val="left" w:pos="5812"/>
        </w:tabs>
        <w:spacing w:before="120" w:after="120" w:line="200" w:lineRule="exact"/>
        <w:jc w:val="both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Η</w:t>
      </w:r>
      <w:r w:rsidR="00BF409F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σύσταση της</w:t>
      </w:r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Επιτροπή</w:t>
      </w:r>
      <w:r w:rsidR="00BF409F">
        <w:rPr>
          <w:rFonts w:ascii="Bookman Old Style" w:eastAsia="Times New Roman" w:hAnsi="Bookman Old Style"/>
          <w:bCs/>
          <w:sz w:val="18"/>
          <w:szCs w:val="18"/>
          <w:lang w:eastAsia="el-GR"/>
        </w:rPr>
        <w:t>ς έχει ανασυγκροτηθεί</w:t>
      </w:r>
      <w:r w:rsidR="00E95357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με την υπ. αρ. </w:t>
      </w:r>
      <w:r w:rsidR="001C3C80" w:rsidRPr="001D0FAA">
        <w:rPr>
          <w:rFonts w:ascii="Bookman Old Style" w:eastAsia="Times New Roman" w:hAnsi="Bookman Old Style"/>
          <w:b/>
          <w:bCs/>
          <w:sz w:val="18"/>
          <w:szCs w:val="18"/>
          <w:lang w:eastAsia="el-GR"/>
        </w:rPr>
        <w:t>1311</w:t>
      </w:r>
      <w:r w:rsidR="00E95357" w:rsidRPr="001D0FAA">
        <w:rPr>
          <w:rFonts w:ascii="Bookman Old Style" w:eastAsia="Times New Roman" w:hAnsi="Bookman Old Style"/>
          <w:b/>
          <w:bCs/>
          <w:sz w:val="18"/>
          <w:szCs w:val="18"/>
          <w:lang w:eastAsia="el-GR"/>
        </w:rPr>
        <w:t>/</w:t>
      </w:r>
      <w:r w:rsidR="001C3C80" w:rsidRPr="001D0FAA">
        <w:rPr>
          <w:rFonts w:ascii="Bookman Old Style" w:eastAsia="Times New Roman" w:hAnsi="Bookman Old Style"/>
          <w:b/>
          <w:bCs/>
          <w:sz w:val="18"/>
          <w:szCs w:val="18"/>
          <w:lang w:eastAsia="el-GR"/>
        </w:rPr>
        <w:t>28.5</w:t>
      </w:r>
      <w:r w:rsidR="00855B53" w:rsidRPr="001D0FAA">
        <w:rPr>
          <w:rFonts w:ascii="Bookman Old Style" w:eastAsia="Times New Roman" w:hAnsi="Bookman Old Style"/>
          <w:b/>
          <w:bCs/>
          <w:sz w:val="18"/>
          <w:szCs w:val="18"/>
          <w:lang w:eastAsia="el-GR"/>
        </w:rPr>
        <w:t>.</w:t>
      </w:r>
      <w:r w:rsidR="00E95357" w:rsidRPr="001D0FAA">
        <w:rPr>
          <w:rFonts w:ascii="Bookman Old Style" w:eastAsia="Times New Roman" w:hAnsi="Bookman Old Style"/>
          <w:b/>
          <w:bCs/>
          <w:sz w:val="18"/>
          <w:szCs w:val="18"/>
          <w:lang w:eastAsia="el-GR"/>
        </w:rPr>
        <w:t>2020</w:t>
      </w:r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απόφαση Δήμαρχου και αποτελείται από έναν (1) </w:t>
      </w:r>
      <w:r w:rsidR="004215BC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εκπρόσωπο της Δημοτικής αρχής, έναν </w:t>
      </w:r>
      <w:r w:rsidR="002F41F1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(1) </w:t>
      </w:r>
      <w:r w:rsidR="00B0393D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εκπρόσωπο </w:t>
      </w:r>
      <w:r w:rsidR="004215BC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Διαχειριστή του Ελληνικού Δικτύου Διανομής Ηλεκτρικής Ενέργειας (Δ</w:t>
      </w:r>
      <w:r w:rsidR="00BF0234">
        <w:rPr>
          <w:rFonts w:ascii="Bookman Old Style" w:eastAsia="Times New Roman" w:hAnsi="Bookman Old Style"/>
          <w:bCs/>
          <w:sz w:val="18"/>
          <w:szCs w:val="18"/>
          <w:lang w:eastAsia="el-GR"/>
        </w:rPr>
        <w:t>.</w:t>
      </w:r>
      <w:r w:rsidR="004215BC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Ε</w:t>
      </w:r>
      <w:r w:rsidR="00BF0234">
        <w:rPr>
          <w:rFonts w:ascii="Bookman Old Style" w:eastAsia="Times New Roman" w:hAnsi="Bookman Old Style"/>
          <w:bCs/>
          <w:sz w:val="18"/>
          <w:szCs w:val="18"/>
          <w:lang w:eastAsia="el-GR"/>
        </w:rPr>
        <w:t>.</w:t>
      </w:r>
      <w:r w:rsidR="004215BC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Δ</w:t>
      </w:r>
      <w:r w:rsidR="00BF0234">
        <w:rPr>
          <w:rFonts w:ascii="Bookman Old Style" w:eastAsia="Times New Roman" w:hAnsi="Bookman Old Style"/>
          <w:bCs/>
          <w:sz w:val="18"/>
          <w:szCs w:val="18"/>
          <w:lang w:eastAsia="el-GR"/>
        </w:rPr>
        <w:t>.</w:t>
      </w:r>
      <w:r w:rsidR="004215BC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Δ</w:t>
      </w:r>
      <w:r w:rsidR="00BF0234">
        <w:rPr>
          <w:rFonts w:ascii="Bookman Old Style" w:eastAsia="Times New Roman" w:hAnsi="Bookman Old Style"/>
          <w:bCs/>
          <w:sz w:val="18"/>
          <w:szCs w:val="18"/>
          <w:lang w:eastAsia="el-GR"/>
        </w:rPr>
        <w:t>.</w:t>
      </w:r>
      <w:r w:rsidR="004215BC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Η</w:t>
      </w:r>
      <w:r w:rsidR="00BF0234">
        <w:rPr>
          <w:rFonts w:ascii="Bookman Old Style" w:eastAsia="Times New Roman" w:hAnsi="Bookman Old Style"/>
          <w:bCs/>
          <w:sz w:val="18"/>
          <w:szCs w:val="18"/>
          <w:lang w:eastAsia="el-GR"/>
        </w:rPr>
        <w:t>.</w:t>
      </w:r>
      <w:r w:rsidR="004215BC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Ε Α.Ε.) και έναν </w:t>
      </w:r>
      <w:r w:rsidR="002F41F1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(1) </w:t>
      </w:r>
      <w:r w:rsidR="004215BC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εκπρόσωπο </w:t>
      </w:r>
      <w:r w:rsidR="00B0393D">
        <w:rPr>
          <w:rFonts w:ascii="Bookman Old Style" w:eastAsia="Times New Roman" w:hAnsi="Bookman Old Style"/>
          <w:bCs/>
          <w:sz w:val="18"/>
          <w:szCs w:val="18"/>
          <w:lang w:eastAsia="el-GR"/>
        </w:rPr>
        <w:t>Προμηθευτή ηλεκτρικής ενέργειας.</w:t>
      </w:r>
    </w:p>
    <w:p w:rsidR="00382855" w:rsidRPr="001D0FAA" w:rsidRDefault="00B0393D" w:rsidP="00BF0234">
      <w:pPr>
        <w:tabs>
          <w:tab w:val="left" w:pos="5812"/>
        </w:tabs>
        <w:spacing w:before="120" w:after="120" w:line="200" w:lineRule="exact"/>
        <w:jc w:val="both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  <w:r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Σκοπός της Επιτροπής είναι να εξετάζει </w:t>
      </w:r>
      <w:r w:rsidR="00445DE7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τις υποβληθείσες αιτήσει</w:t>
      </w:r>
      <w:r>
        <w:rPr>
          <w:rFonts w:ascii="Bookman Old Style" w:eastAsia="Times New Roman" w:hAnsi="Bookman Old Style"/>
          <w:bCs/>
          <w:sz w:val="18"/>
          <w:szCs w:val="18"/>
          <w:lang w:eastAsia="el-GR"/>
        </w:rPr>
        <w:t>ς, να αξιολογεί</w:t>
      </w:r>
      <w:r w:rsidR="00445DE7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την πραγματική οικονομική και περι</w:t>
      </w:r>
      <w:r w:rsidR="00B82A6F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ουσιακή κατάσταση των αιτούντων</w:t>
      </w:r>
      <w:r>
        <w:rPr>
          <w:rFonts w:ascii="Bookman Old Style" w:eastAsia="Times New Roman" w:hAnsi="Bookman Old Style"/>
          <w:bCs/>
          <w:sz w:val="18"/>
          <w:szCs w:val="18"/>
          <w:lang w:eastAsia="el-GR"/>
        </w:rPr>
        <w:t>, να χορηγεί το ειδικό βοήθημα και να δίνει</w:t>
      </w:r>
      <w:r w:rsidR="00445DE7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άμεσα την εντολή για την επανασύνδεση των ευπαθών καταναλωτών.</w:t>
      </w:r>
      <w:r w:rsidR="00303091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</w:p>
    <w:p w:rsidR="00407E0C" w:rsidRPr="001D0FAA" w:rsidRDefault="0077180D" w:rsidP="00BF0234">
      <w:pPr>
        <w:tabs>
          <w:tab w:val="left" w:pos="5812"/>
        </w:tabs>
        <w:spacing w:after="120" w:line="200" w:lineRule="exact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  <w:r>
        <w:rPr>
          <w:rFonts w:ascii="Bookman Old Style" w:eastAsia="Times New Roman" w:hAnsi="Bookman Old Style"/>
          <w:bCs/>
          <w:sz w:val="18"/>
          <w:szCs w:val="18"/>
          <w:lang w:eastAsia="el-GR"/>
        </w:rPr>
        <w:t>Το ύψος του</w:t>
      </w:r>
      <w:r w:rsidR="00BF0234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ειδικού</w:t>
      </w:r>
      <w:r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βοηθήματος καθορίζεται αναλόγως</w:t>
      </w:r>
      <w:r w:rsidR="00BF0234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  <w:r w:rsidR="0033482B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το</w:t>
      </w:r>
      <w:r w:rsidR="00BF0234">
        <w:rPr>
          <w:rFonts w:ascii="Bookman Old Style" w:eastAsia="Times New Roman" w:hAnsi="Bookman Old Style"/>
          <w:bCs/>
          <w:sz w:val="18"/>
          <w:szCs w:val="18"/>
          <w:lang w:eastAsia="el-GR"/>
        </w:rPr>
        <w:t>υ</w:t>
      </w:r>
      <w:r w:rsidR="0033482B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ύψο</w:t>
      </w:r>
      <w:r w:rsidR="00BF0234">
        <w:rPr>
          <w:rFonts w:ascii="Bookman Old Style" w:eastAsia="Times New Roman" w:hAnsi="Bookman Old Style"/>
          <w:bCs/>
          <w:sz w:val="18"/>
          <w:szCs w:val="18"/>
          <w:lang w:eastAsia="el-GR"/>
        </w:rPr>
        <w:t>υ</w:t>
      </w:r>
      <w:r w:rsidR="0033482B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ς της </w:t>
      </w:r>
      <w:r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συνολικής </w:t>
      </w:r>
      <w:r w:rsidR="0033482B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οφειλής</w:t>
      </w:r>
      <w:r w:rsidR="009370BF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και </w:t>
      </w:r>
      <w:r>
        <w:rPr>
          <w:rFonts w:ascii="Bookman Old Style" w:eastAsia="Times New Roman" w:hAnsi="Bookman Old Style"/>
          <w:bCs/>
          <w:sz w:val="18"/>
          <w:szCs w:val="18"/>
          <w:lang w:eastAsia="el-GR"/>
        </w:rPr>
        <w:t>συγκεκριμένα</w:t>
      </w:r>
      <w:r w:rsidR="0033482B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:</w:t>
      </w:r>
    </w:p>
    <w:p w:rsidR="00382855" w:rsidRPr="001D0FAA" w:rsidRDefault="00382855" w:rsidP="00A372B8">
      <w:pPr>
        <w:tabs>
          <w:tab w:val="left" w:pos="5812"/>
        </w:tabs>
        <w:spacing w:after="0" w:line="200" w:lineRule="exact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2"/>
        <w:gridCol w:w="3573"/>
      </w:tblGrid>
      <w:tr w:rsidR="002703A9" w:rsidRPr="001D0FAA" w:rsidTr="001D2EC3">
        <w:trPr>
          <w:jc w:val="center"/>
        </w:trPr>
        <w:tc>
          <w:tcPr>
            <w:tcW w:w="4132" w:type="dxa"/>
            <w:shd w:val="clear" w:color="auto" w:fill="DDD9C3"/>
          </w:tcPr>
          <w:p w:rsidR="002703A9" w:rsidRPr="001D0FAA" w:rsidRDefault="002703A9" w:rsidP="0046575C">
            <w:pPr>
              <w:tabs>
                <w:tab w:val="left" w:pos="5812"/>
              </w:tabs>
              <w:spacing w:before="120" w:after="0" w:line="160" w:lineRule="exact"/>
              <w:jc w:val="both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el-GR"/>
              </w:rPr>
            </w:pPr>
            <w:r w:rsidRPr="001D0FAA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el-GR"/>
              </w:rPr>
              <w:t>Ύψος συνολικής οφειλής</w:t>
            </w:r>
          </w:p>
        </w:tc>
        <w:tc>
          <w:tcPr>
            <w:tcW w:w="3573" w:type="dxa"/>
            <w:shd w:val="clear" w:color="auto" w:fill="DDD9C3"/>
          </w:tcPr>
          <w:p w:rsidR="002703A9" w:rsidRPr="001D0FAA" w:rsidRDefault="00382855" w:rsidP="0046575C">
            <w:pPr>
              <w:tabs>
                <w:tab w:val="left" w:pos="5812"/>
              </w:tabs>
              <w:spacing w:before="120" w:after="0" w:line="160" w:lineRule="exact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el-GR"/>
              </w:rPr>
            </w:pPr>
            <w:r w:rsidRPr="001D0FAA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el-GR"/>
              </w:rPr>
              <w:t>Π</w:t>
            </w:r>
            <w:r w:rsidR="002703A9" w:rsidRPr="001D0FAA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el-GR"/>
              </w:rPr>
              <w:t>οσοστό κάλυψης</w:t>
            </w:r>
          </w:p>
        </w:tc>
      </w:tr>
      <w:tr w:rsidR="002703A9" w:rsidRPr="001D0FAA" w:rsidTr="001D2EC3">
        <w:trPr>
          <w:trHeight w:val="79"/>
          <w:jc w:val="center"/>
        </w:trPr>
        <w:tc>
          <w:tcPr>
            <w:tcW w:w="4132" w:type="dxa"/>
          </w:tcPr>
          <w:p w:rsidR="002703A9" w:rsidRPr="001D0FAA" w:rsidRDefault="002703A9" w:rsidP="0046575C">
            <w:pPr>
              <w:tabs>
                <w:tab w:val="left" w:pos="5812"/>
              </w:tabs>
              <w:spacing w:before="120" w:after="0" w:line="160" w:lineRule="exact"/>
              <w:jc w:val="both"/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</w:pPr>
            <w:r w:rsidRPr="001D0FAA"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  <w:t xml:space="preserve">έως 6.000 ευρώ </w:t>
            </w:r>
          </w:p>
        </w:tc>
        <w:tc>
          <w:tcPr>
            <w:tcW w:w="3573" w:type="dxa"/>
          </w:tcPr>
          <w:p w:rsidR="002703A9" w:rsidRPr="001D0FAA" w:rsidRDefault="002703A9" w:rsidP="0046575C">
            <w:pPr>
              <w:tabs>
                <w:tab w:val="left" w:pos="5812"/>
              </w:tabs>
              <w:spacing w:before="120" w:after="0" w:line="160" w:lineRule="exact"/>
              <w:jc w:val="center"/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</w:pPr>
            <w:r w:rsidRPr="001D0FAA"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  <w:t>100%</w:t>
            </w:r>
          </w:p>
        </w:tc>
      </w:tr>
      <w:tr w:rsidR="002703A9" w:rsidRPr="001D0FAA" w:rsidTr="001D2EC3">
        <w:trPr>
          <w:jc w:val="center"/>
        </w:trPr>
        <w:tc>
          <w:tcPr>
            <w:tcW w:w="4132" w:type="dxa"/>
          </w:tcPr>
          <w:p w:rsidR="002703A9" w:rsidRPr="001D0FAA" w:rsidRDefault="00F17998" w:rsidP="0046575C">
            <w:pPr>
              <w:tabs>
                <w:tab w:val="left" w:pos="5812"/>
              </w:tabs>
              <w:spacing w:before="120" w:after="0" w:line="160" w:lineRule="exact"/>
              <w:jc w:val="both"/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</w:pPr>
            <w:r w:rsidRPr="001D0FAA"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  <w:t>6.001-</w:t>
            </w:r>
            <w:r w:rsidR="002703A9" w:rsidRPr="001D0FAA"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  <w:t>9.000 ευρώ</w:t>
            </w:r>
          </w:p>
        </w:tc>
        <w:tc>
          <w:tcPr>
            <w:tcW w:w="3573" w:type="dxa"/>
          </w:tcPr>
          <w:p w:rsidR="002703A9" w:rsidRPr="001D0FAA" w:rsidRDefault="002703A9" w:rsidP="0046575C">
            <w:pPr>
              <w:tabs>
                <w:tab w:val="left" w:pos="5812"/>
              </w:tabs>
              <w:spacing w:before="120" w:after="0" w:line="160" w:lineRule="exact"/>
              <w:jc w:val="center"/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</w:pPr>
            <w:r w:rsidRPr="001D0FAA"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  <w:t>75%</w:t>
            </w:r>
          </w:p>
        </w:tc>
      </w:tr>
      <w:tr w:rsidR="002703A9" w:rsidRPr="001D0FAA" w:rsidTr="001D2EC3">
        <w:trPr>
          <w:jc w:val="center"/>
        </w:trPr>
        <w:tc>
          <w:tcPr>
            <w:tcW w:w="4132" w:type="dxa"/>
          </w:tcPr>
          <w:p w:rsidR="002703A9" w:rsidRPr="001D0FAA" w:rsidRDefault="00F17998" w:rsidP="0046575C">
            <w:pPr>
              <w:tabs>
                <w:tab w:val="left" w:pos="5812"/>
              </w:tabs>
              <w:spacing w:before="120" w:after="0" w:line="160" w:lineRule="exact"/>
              <w:jc w:val="both"/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</w:pPr>
            <w:r w:rsidRPr="001D0FAA"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  <w:t>9.001-</w:t>
            </w:r>
            <w:r w:rsidR="002703A9" w:rsidRPr="001D0FAA"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  <w:t>12.000 ευρώ</w:t>
            </w:r>
          </w:p>
        </w:tc>
        <w:tc>
          <w:tcPr>
            <w:tcW w:w="3573" w:type="dxa"/>
          </w:tcPr>
          <w:p w:rsidR="002703A9" w:rsidRPr="001D0FAA" w:rsidRDefault="002703A9" w:rsidP="0046575C">
            <w:pPr>
              <w:tabs>
                <w:tab w:val="left" w:pos="5812"/>
              </w:tabs>
              <w:spacing w:before="120" w:after="0" w:line="160" w:lineRule="exact"/>
              <w:jc w:val="center"/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</w:pPr>
            <w:r w:rsidRPr="001D0FAA"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  <w:t>50%</w:t>
            </w:r>
          </w:p>
        </w:tc>
      </w:tr>
      <w:tr w:rsidR="002703A9" w:rsidRPr="001D0FAA" w:rsidTr="001D2EC3">
        <w:trPr>
          <w:jc w:val="center"/>
        </w:trPr>
        <w:tc>
          <w:tcPr>
            <w:tcW w:w="4132" w:type="dxa"/>
          </w:tcPr>
          <w:p w:rsidR="002703A9" w:rsidRPr="001D0FAA" w:rsidRDefault="00382855" w:rsidP="0046575C">
            <w:pPr>
              <w:tabs>
                <w:tab w:val="left" w:pos="5812"/>
              </w:tabs>
              <w:spacing w:before="120" w:after="0" w:line="160" w:lineRule="exact"/>
              <w:jc w:val="both"/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</w:pPr>
            <w:r w:rsidRPr="001D0FAA"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  <w:t>ά</w:t>
            </w:r>
            <w:r w:rsidR="002703A9" w:rsidRPr="001D0FAA"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  <w:t>νω των 12.000 ευρώ</w:t>
            </w:r>
          </w:p>
        </w:tc>
        <w:tc>
          <w:tcPr>
            <w:tcW w:w="3573" w:type="dxa"/>
          </w:tcPr>
          <w:p w:rsidR="002703A9" w:rsidRPr="001D0FAA" w:rsidRDefault="002703A9" w:rsidP="0046575C">
            <w:pPr>
              <w:tabs>
                <w:tab w:val="left" w:pos="5812"/>
              </w:tabs>
              <w:spacing w:before="120" w:after="0" w:line="160" w:lineRule="exact"/>
              <w:jc w:val="center"/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</w:pPr>
            <w:r w:rsidRPr="001D0FAA">
              <w:rPr>
                <w:rFonts w:ascii="Bookman Old Style" w:eastAsia="Times New Roman" w:hAnsi="Bookman Old Style"/>
                <w:bCs/>
                <w:sz w:val="18"/>
                <w:szCs w:val="18"/>
                <w:lang w:eastAsia="el-GR"/>
              </w:rPr>
              <w:t>30%</w:t>
            </w:r>
          </w:p>
        </w:tc>
      </w:tr>
    </w:tbl>
    <w:p w:rsidR="00EB27AC" w:rsidRDefault="00EB27AC" w:rsidP="00A372B8">
      <w:pPr>
        <w:tabs>
          <w:tab w:val="left" w:pos="5812"/>
        </w:tabs>
        <w:spacing w:before="120" w:after="0" w:line="200" w:lineRule="exact"/>
        <w:jc w:val="both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</w:p>
    <w:p w:rsidR="00235C34" w:rsidRPr="001D0FAA" w:rsidRDefault="00235C34" w:rsidP="00A372B8">
      <w:pPr>
        <w:tabs>
          <w:tab w:val="left" w:pos="5812"/>
        </w:tabs>
        <w:spacing w:before="120" w:after="0" w:line="200" w:lineRule="exact"/>
        <w:jc w:val="both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Οι προς εξέταση δικαιούχοι του ειδικού βοηθήματος για να υποβ</w:t>
      </w:r>
      <w:r w:rsidR="00A719B7"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άλουν αίτηση στην εν λό</w:t>
      </w:r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γω Επιτροπή πρέπει να πληρούν τα παρακάτω κριτήρια:</w:t>
      </w:r>
    </w:p>
    <w:p w:rsidR="001D0FAA" w:rsidRPr="001D0FAA" w:rsidRDefault="001D0FAA" w:rsidP="00A372B8">
      <w:pPr>
        <w:tabs>
          <w:tab w:val="left" w:pos="5812"/>
        </w:tabs>
        <w:spacing w:before="120" w:after="0" w:line="200" w:lineRule="exact"/>
        <w:jc w:val="both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Α. Να έχουν αποσυνδεθεί από το δίκτυο παροχής ηλεκτρικής ενέργειας λόγω ληξιπρόθεσμων οφειλών μέχρι και τις </w:t>
      </w:r>
      <w:r w:rsidR="00EB27AC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              </w:t>
      </w:r>
      <w:r w:rsidR="00D03FA8">
        <w:rPr>
          <w:rFonts w:ascii="Bookman Old Style" w:eastAsia="Times New Roman" w:hAnsi="Bookman Old Style"/>
          <w:b/>
          <w:bCs/>
          <w:sz w:val="18"/>
          <w:szCs w:val="18"/>
          <w:lang w:eastAsia="el-GR"/>
        </w:rPr>
        <w:t>31-12</w:t>
      </w:r>
      <w:r w:rsidR="00D92514" w:rsidRPr="00F46EB5">
        <w:rPr>
          <w:rFonts w:ascii="Bookman Old Style" w:eastAsia="Times New Roman" w:hAnsi="Bookman Old Style"/>
          <w:b/>
          <w:bCs/>
          <w:sz w:val="18"/>
          <w:szCs w:val="18"/>
          <w:lang w:eastAsia="el-GR"/>
        </w:rPr>
        <w:t>-</w:t>
      </w:r>
      <w:r w:rsidRPr="00F46EB5">
        <w:rPr>
          <w:rFonts w:ascii="Bookman Old Style" w:eastAsia="Times New Roman" w:hAnsi="Bookman Old Style"/>
          <w:b/>
          <w:bCs/>
          <w:sz w:val="18"/>
          <w:szCs w:val="18"/>
          <w:lang w:eastAsia="el-GR"/>
        </w:rPr>
        <w:t>2020</w:t>
      </w:r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και να παραμένουν αποσυνδεδεμένοι μέχρι την ολοκλήρωση της διαδικασίας του άρθρου 3.</w:t>
      </w:r>
    </w:p>
    <w:p w:rsidR="001D0FAA" w:rsidRPr="001D0FAA" w:rsidRDefault="001D0FAA" w:rsidP="00A372B8">
      <w:pPr>
        <w:tabs>
          <w:tab w:val="left" w:pos="5812"/>
        </w:tabs>
        <w:spacing w:before="120" w:after="0" w:line="200" w:lineRule="exact"/>
        <w:jc w:val="both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Β. Η αποσύνδεση να έχει γίνει στην παροχή ρεύματος της κ</w:t>
      </w:r>
      <w:r w:rsidR="0046575C">
        <w:rPr>
          <w:rFonts w:ascii="Bookman Old Style" w:eastAsia="Times New Roman" w:hAnsi="Bookman Old Style"/>
          <w:bCs/>
          <w:sz w:val="18"/>
          <w:szCs w:val="18"/>
          <w:lang w:eastAsia="el-GR"/>
        </w:rPr>
        <w:t>ύριας κατοικίας του</w:t>
      </w:r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δικαιούχου.</w:t>
      </w:r>
    </w:p>
    <w:p w:rsidR="001D0FAA" w:rsidRPr="001D0FAA" w:rsidRDefault="001D0FAA" w:rsidP="00211530">
      <w:pPr>
        <w:tabs>
          <w:tab w:val="left" w:pos="5812"/>
        </w:tabs>
        <w:spacing w:before="120" w:after="0" w:line="160" w:lineRule="exact"/>
        <w:jc w:val="both"/>
        <w:rPr>
          <w:rFonts w:ascii="Bookman Old Style" w:eastAsia="Times New Roman" w:hAnsi="Bookman Old Style"/>
          <w:bCs/>
          <w:sz w:val="18"/>
          <w:szCs w:val="18"/>
          <w:lang w:val="en-US" w:eastAsia="el-GR"/>
        </w:rPr>
      </w:pPr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>Γ. Εισοδηματικά κριτήρια</w:t>
      </w:r>
      <w:r w:rsidRPr="001D0FAA">
        <w:rPr>
          <w:rFonts w:ascii="Bookman Old Style" w:eastAsia="Times New Roman" w:hAnsi="Bookman Old Style"/>
          <w:bCs/>
          <w:sz w:val="18"/>
          <w:szCs w:val="18"/>
          <w:lang w:val="en-US" w:eastAsia="el-GR"/>
        </w:rPr>
        <w:t>:</w:t>
      </w:r>
      <w:r w:rsidRPr="001D0FAA"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</w:t>
      </w:r>
    </w:p>
    <w:p w:rsidR="001D0FAA" w:rsidRPr="001D0FAA" w:rsidRDefault="001D0FAA" w:rsidP="00211530">
      <w:pPr>
        <w:numPr>
          <w:ilvl w:val="0"/>
          <w:numId w:val="4"/>
        </w:numPr>
        <w:shd w:val="clear" w:color="auto" w:fill="FFFFFF"/>
        <w:spacing w:before="100" w:beforeAutospacing="1" w:after="0" w:line="160" w:lineRule="exact"/>
        <w:jc w:val="both"/>
        <w:textAlignment w:val="baseline"/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</w:pPr>
      <w:r w:rsidRPr="001D0FAA"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  <w:t>Μονοπρόσωπο νοικοκυριό: 9.000 ευρώ</w:t>
      </w:r>
    </w:p>
    <w:p w:rsidR="001D0FAA" w:rsidRPr="001D0FAA" w:rsidRDefault="001D0FAA" w:rsidP="00A372B8">
      <w:pPr>
        <w:numPr>
          <w:ilvl w:val="0"/>
          <w:numId w:val="4"/>
        </w:numPr>
        <w:shd w:val="clear" w:color="auto" w:fill="FFFFFF"/>
        <w:spacing w:before="100" w:beforeAutospacing="1" w:after="0" w:line="200" w:lineRule="exact"/>
        <w:jc w:val="both"/>
        <w:textAlignment w:val="baseline"/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</w:pPr>
      <w:r w:rsidRPr="001D0FAA"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  <w:t>Νοικοκυριό αποτελούμενο από δύο ενήλικα μέλη ή μονογονεϊκή οικογένεια με ένα ανήλικο μέλος: 13.500 ευρώ</w:t>
      </w:r>
    </w:p>
    <w:p w:rsidR="001D0FAA" w:rsidRPr="001D0FAA" w:rsidRDefault="001D0FAA" w:rsidP="00A372B8">
      <w:pPr>
        <w:numPr>
          <w:ilvl w:val="0"/>
          <w:numId w:val="4"/>
        </w:numPr>
        <w:shd w:val="clear" w:color="auto" w:fill="FFFFFF"/>
        <w:spacing w:before="100" w:beforeAutospacing="1" w:after="0" w:line="200" w:lineRule="exact"/>
        <w:jc w:val="both"/>
        <w:textAlignment w:val="baseline"/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</w:pPr>
      <w:r w:rsidRPr="001D0FAA"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  <w:t>Νοικοκυριό αποτελούμενο από δύο ενήλικα μέλη και ένα ανήλικο μέλος ή μονογονεϊκή οικογένεια με δύο ανήλικα μέλη: 15.750 ευρώ</w:t>
      </w:r>
    </w:p>
    <w:p w:rsidR="001D0FAA" w:rsidRPr="001D0FAA" w:rsidRDefault="001D0FAA" w:rsidP="00A372B8">
      <w:pPr>
        <w:numPr>
          <w:ilvl w:val="0"/>
          <w:numId w:val="4"/>
        </w:numPr>
        <w:shd w:val="clear" w:color="auto" w:fill="FFFFFF"/>
        <w:spacing w:before="100" w:beforeAutospacing="1" w:after="0" w:line="200" w:lineRule="exact"/>
        <w:jc w:val="both"/>
        <w:textAlignment w:val="baseline"/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</w:pPr>
      <w:r w:rsidRPr="001D0FAA"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  <w:t>Νοικοκυριό αποτελούμενο από τρία ενήλικα μέλη ή δύο ενήλικα και δύο ανήλικα μέλη ή μονογονεϊκή οικογένεια με τρία ανήλικα μέλη: 18.000 ευρώ</w:t>
      </w:r>
    </w:p>
    <w:p w:rsidR="001D0FAA" w:rsidRPr="001D0FAA" w:rsidRDefault="001D0FAA" w:rsidP="00A372B8">
      <w:pPr>
        <w:numPr>
          <w:ilvl w:val="0"/>
          <w:numId w:val="4"/>
        </w:numPr>
        <w:shd w:val="clear" w:color="auto" w:fill="FFFFFF"/>
        <w:spacing w:before="100" w:beforeAutospacing="1" w:after="0" w:line="200" w:lineRule="exact"/>
        <w:jc w:val="both"/>
        <w:textAlignment w:val="baseline"/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</w:pPr>
      <w:r w:rsidRPr="001D0FAA"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  <w:t>Νοικοκυριό αποτελούμενο από τρία ενήλικα και ένα ανήλικο μέλος ή δύο ενήλικα και τρία ανήλικα μέλη ή μονογονεϊκή οικογένεια με τέσσερα ανήλικα μέλη: 24.750 ευρώ</w:t>
      </w:r>
    </w:p>
    <w:p w:rsidR="00A372B8" w:rsidRDefault="001D0FAA" w:rsidP="00211530">
      <w:pPr>
        <w:numPr>
          <w:ilvl w:val="0"/>
          <w:numId w:val="4"/>
        </w:numPr>
        <w:shd w:val="clear" w:color="auto" w:fill="FFFFFF"/>
        <w:spacing w:before="100" w:beforeAutospacing="1" w:after="120" w:line="160" w:lineRule="exact"/>
        <w:jc w:val="both"/>
        <w:textAlignment w:val="baseline"/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</w:pPr>
      <w:r w:rsidRPr="001D0FAA"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  <w:t>Νοικοκυριό αποτελούμενο από τέσσερα ενήλικα μέλη ή δύο ενήλικα και τέσσερα ανήλικα μέλη ή μονογονεϊκή οικογένεια με πέντε ανήλικα μέλη: 27.000 ευρώ</w:t>
      </w:r>
    </w:p>
    <w:p w:rsidR="0046575C" w:rsidRPr="0046575C" w:rsidRDefault="00C66224" w:rsidP="0046575C">
      <w:pPr>
        <w:shd w:val="clear" w:color="auto" w:fill="FFFFFF"/>
        <w:spacing w:before="100" w:beforeAutospacing="1" w:after="120" w:line="160" w:lineRule="exact"/>
        <w:jc w:val="both"/>
        <w:textAlignment w:val="baseline"/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</w:pPr>
      <w:r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  <w:t>Επισήμανση</w:t>
      </w:r>
      <w:r w:rsidR="0046575C" w:rsidRPr="0046575C">
        <w:rPr>
          <w:rFonts w:ascii="Bookman Old Style" w:eastAsia="Times New Roman" w:hAnsi="Bookman Old Style"/>
          <w:color w:val="404040"/>
          <w:sz w:val="18"/>
          <w:szCs w:val="18"/>
          <w:lang w:eastAsia="el-GR"/>
        </w:rPr>
        <w:t>:</w:t>
      </w:r>
    </w:p>
    <w:p w:rsidR="00A372B8" w:rsidRPr="00211530" w:rsidRDefault="0046575C" w:rsidP="0046575C">
      <w:pPr>
        <w:numPr>
          <w:ilvl w:val="0"/>
          <w:numId w:val="5"/>
        </w:numPr>
        <w:shd w:val="clear" w:color="auto" w:fill="FFFFFF"/>
        <w:spacing w:after="120" w:line="160" w:lineRule="exact"/>
        <w:jc w:val="both"/>
        <w:rPr>
          <w:rFonts w:ascii="Bookman Old Style" w:eastAsia="Times New Roman" w:hAnsi="Bookman Old Style"/>
          <w:color w:val="000000"/>
          <w:sz w:val="18"/>
          <w:szCs w:val="18"/>
          <w:lang w:eastAsia="el-GR"/>
        </w:rPr>
      </w:pPr>
      <w:r>
        <w:rPr>
          <w:rFonts w:ascii="Bookman Old Style" w:eastAsia="Times New Roman" w:hAnsi="Bookman Old Style"/>
          <w:color w:val="000000"/>
          <w:sz w:val="18"/>
          <w:szCs w:val="18"/>
          <w:lang w:eastAsia="el-GR"/>
        </w:rPr>
        <w:t>Γ</w:t>
      </w:r>
      <w:r w:rsidR="00A372B8" w:rsidRPr="00A372B8">
        <w:rPr>
          <w:rFonts w:ascii="Bookman Old Style" w:eastAsia="Times New Roman" w:hAnsi="Bookman Old Style"/>
          <w:color w:val="000000"/>
          <w:sz w:val="18"/>
          <w:szCs w:val="18"/>
          <w:lang w:eastAsia="el-GR"/>
        </w:rPr>
        <w:t>ια νοικοκυριό που στη σύνθεσή του περιλαμβάνει και άτομο ή άτομα με αναπηρία σε ποσοστό από 67% και άνω τα παραπάνω εισοδηματικά όρια αυξάνονται κατά 8.000 ευρώ.</w:t>
      </w:r>
      <w:r w:rsidR="00211530" w:rsidRPr="00211530">
        <w:rPr>
          <w:rFonts w:ascii="Bookman Old Style" w:eastAsia="Times New Roman" w:hAnsi="Bookman Old Style"/>
          <w:color w:val="000000"/>
          <w:sz w:val="18"/>
          <w:szCs w:val="18"/>
          <w:lang w:eastAsia="el-GR"/>
        </w:rPr>
        <w:t xml:space="preserve"> </w:t>
      </w:r>
    </w:p>
    <w:p w:rsidR="001D0FAA" w:rsidRPr="00A372B8" w:rsidRDefault="00A372B8" w:rsidP="0046575C">
      <w:pPr>
        <w:numPr>
          <w:ilvl w:val="0"/>
          <w:numId w:val="5"/>
        </w:numPr>
        <w:shd w:val="clear" w:color="auto" w:fill="FFFFFF"/>
        <w:spacing w:after="120" w:line="160" w:lineRule="exact"/>
        <w:jc w:val="both"/>
        <w:rPr>
          <w:rFonts w:ascii="Bookman Old Style" w:eastAsia="Times New Roman" w:hAnsi="Bookman Old Style"/>
          <w:color w:val="000000"/>
          <w:sz w:val="18"/>
          <w:szCs w:val="18"/>
          <w:lang w:eastAsia="el-GR"/>
        </w:rPr>
      </w:pPr>
      <w:r w:rsidRPr="00A372B8">
        <w:rPr>
          <w:rFonts w:ascii="Bookman Old Style" w:eastAsia="Times New Roman" w:hAnsi="Bookman Old Style"/>
          <w:color w:val="000000"/>
          <w:sz w:val="18"/>
          <w:szCs w:val="18"/>
          <w:lang w:eastAsia="el-GR"/>
        </w:rPr>
        <w:t>Για νοικοκυριό που περιλαμβάνει και άτομο ή άτομα που έχουν ανάγκη μηχανικής υποστήριξης με χρήση ιατρικών συσκευών, η οποία παρέχεται κατ’ οίκον και είναι απαραίτητη για τη ζωή τους, τα παραπάνω εισοδηματικά όρια αυξάνονται κατά 15.000 ευρώ</w:t>
      </w:r>
      <w:r>
        <w:rPr>
          <w:rFonts w:ascii="Bookman Old Style" w:eastAsia="Times New Roman" w:hAnsi="Bookman Old Style"/>
          <w:color w:val="000000"/>
          <w:sz w:val="18"/>
          <w:szCs w:val="18"/>
          <w:lang w:eastAsia="el-GR"/>
        </w:rPr>
        <w:t>.</w:t>
      </w:r>
    </w:p>
    <w:p w:rsidR="00211530" w:rsidRDefault="00A372B8" w:rsidP="00A372B8">
      <w:pPr>
        <w:tabs>
          <w:tab w:val="left" w:pos="5812"/>
        </w:tabs>
        <w:spacing w:before="120" w:after="0" w:line="200" w:lineRule="exact"/>
        <w:jc w:val="both"/>
        <w:rPr>
          <w:rFonts w:ascii="Bookman Old Style" w:eastAsia="Times New Roman" w:hAnsi="Bookman Old Style"/>
          <w:bCs/>
          <w:sz w:val="18"/>
          <w:szCs w:val="18"/>
          <w:lang w:val="en-US" w:eastAsia="el-GR"/>
        </w:rPr>
      </w:pPr>
      <w:r>
        <w:rPr>
          <w:rFonts w:ascii="Bookman Old Style" w:eastAsia="Times New Roman" w:hAnsi="Bookman Old Style"/>
          <w:bCs/>
          <w:sz w:val="18"/>
          <w:szCs w:val="18"/>
          <w:lang w:eastAsia="el-GR"/>
        </w:rPr>
        <w:t>Δ.  Περιουσιακά κριτήρια</w:t>
      </w:r>
      <w:r w:rsidRPr="00A372B8">
        <w:rPr>
          <w:rFonts w:ascii="Bookman Old Style" w:eastAsia="Times New Roman" w:hAnsi="Bookman Old Style"/>
          <w:bCs/>
          <w:sz w:val="18"/>
          <w:szCs w:val="18"/>
          <w:lang w:eastAsia="el-GR"/>
        </w:rPr>
        <w:t>:</w:t>
      </w:r>
    </w:p>
    <w:p w:rsidR="006B7A7A" w:rsidRDefault="00A372B8" w:rsidP="00A372B8">
      <w:pPr>
        <w:tabs>
          <w:tab w:val="left" w:pos="5812"/>
        </w:tabs>
        <w:spacing w:before="120" w:after="0" w:line="200" w:lineRule="exact"/>
        <w:jc w:val="both"/>
        <w:rPr>
          <w:rFonts w:ascii="Bookman Old Style" w:eastAsia="Times New Roman" w:hAnsi="Bookman Old Style" w:cs="Arial"/>
          <w:color w:val="000000"/>
          <w:sz w:val="18"/>
          <w:szCs w:val="18"/>
          <w:lang w:eastAsia="el-GR"/>
        </w:rPr>
      </w:pPr>
      <w:r>
        <w:rPr>
          <w:rFonts w:ascii="Bookman Old Style" w:eastAsia="Times New Roman" w:hAnsi="Bookman Old Style"/>
          <w:bCs/>
          <w:sz w:val="18"/>
          <w:szCs w:val="18"/>
          <w:lang w:eastAsia="el-GR"/>
        </w:rPr>
        <w:t xml:space="preserve">       </w:t>
      </w:r>
      <w:r w:rsidR="00211530" w:rsidRPr="00211530">
        <w:rPr>
          <w:rFonts w:ascii="Bookman Old Style" w:eastAsia="Times New Roman" w:hAnsi="Bookman Old Style" w:cs="Arial"/>
          <w:color w:val="000000"/>
          <w:sz w:val="18"/>
          <w:szCs w:val="18"/>
          <w:lang w:val="en-US" w:eastAsia="el-GR"/>
        </w:rPr>
        <w:t>H</w:t>
      </w:r>
      <w:r w:rsidRPr="00211530">
        <w:rPr>
          <w:rFonts w:ascii="Bookman Old Style" w:eastAsia="Times New Roman" w:hAnsi="Bookman Old Style" w:cs="Arial"/>
          <w:color w:val="000000"/>
          <w:sz w:val="18"/>
          <w:szCs w:val="18"/>
          <w:lang w:eastAsia="el-GR"/>
        </w:rPr>
        <w:t xml:space="preserve"> αξία της ακίνητης περιουσίας (με</w:t>
      </w:r>
      <w:r w:rsidR="00BF0234">
        <w:rPr>
          <w:rFonts w:ascii="Bookman Old Style" w:eastAsia="Times New Roman" w:hAnsi="Bookman Old Style" w:cs="Arial"/>
          <w:color w:val="000000"/>
          <w:sz w:val="18"/>
          <w:szCs w:val="18"/>
          <w:lang w:eastAsia="el-GR"/>
        </w:rPr>
        <w:t xml:space="preserve"> βάση τον υπολογισμό του</w:t>
      </w:r>
      <w:r w:rsidRPr="00211530">
        <w:rPr>
          <w:rFonts w:ascii="Bookman Old Style" w:eastAsia="Times New Roman" w:hAnsi="Bookman Old Style" w:cs="Arial"/>
          <w:color w:val="000000"/>
          <w:sz w:val="18"/>
          <w:szCs w:val="18"/>
          <w:lang w:eastAsia="el-GR"/>
        </w:rPr>
        <w:t xml:space="preserve"> ΕΝΦΙΑ) δεν πρέπει να ξεπερνά τα 120.000 ευρώ για το μονοπρόσωπο νοικοκυριό, συν 15.000 ευρώ για κάθε</w:t>
      </w:r>
      <w:r w:rsidR="00BF0234">
        <w:rPr>
          <w:rFonts w:ascii="Bookman Old Style" w:eastAsia="Times New Roman" w:hAnsi="Bookman Old Style" w:cs="Arial"/>
          <w:color w:val="000000"/>
          <w:sz w:val="18"/>
          <w:szCs w:val="18"/>
          <w:lang w:eastAsia="el-GR"/>
        </w:rPr>
        <w:t xml:space="preserve"> πρόσθετο</w:t>
      </w:r>
      <w:r w:rsidRPr="00211530">
        <w:rPr>
          <w:rFonts w:ascii="Bookman Old Style" w:eastAsia="Times New Roman" w:hAnsi="Bookman Old Style" w:cs="Arial"/>
          <w:color w:val="000000"/>
          <w:sz w:val="18"/>
          <w:szCs w:val="18"/>
          <w:lang w:eastAsia="el-GR"/>
        </w:rPr>
        <w:t xml:space="preserve"> μέλος με ανώτατο όριο τα 180.000 ευρώ.</w:t>
      </w:r>
    </w:p>
    <w:p w:rsidR="001D0FAA" w:rsidRDefault="00A372B8" w:rsidP="00A372B8">
      <w:pPr>
        <w:tabs>
          <w:tab w:val="left" w:pos="5812"/>
        </w:tabs>
        <w:spacing w:before="120" w:after="0" w:line="200" w:lineRule="exact"/>
        <w:jc w:val="both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  <w:r w:rsidRPr="00211530">
        <w:rPr>
          <w:rFonts w:ascii="Bookman Old Style" w:eastAsia="Times New Roman" w:hAnsi="Bookman Old Style"/>
          <w:bCs/>
          <w:sz w:val="18"/>
          <w:szCs w:val="18"/>
          <w:lang w:eastAsia="el-GR"/>
        </w:rPr>
        <w:tab/>
        <w:t xml:space="preserve">    </w:t>
      </w:r>
    </w:p>
    <w:p w:rsidR="00A642CF" w:rsidRPr="00211530" w:rsidRDefault="00A642CF" w:rsidP="00A372B8">
      <w:pPr>
        <w:tabs>
          <w:tab w:val="left" w:pos="5812"/>
        </w:tabs>
        <w:spacing w:before="120" w:after="0" w:line="200" w:lineRule="exact"/>
        <w:jc w:val="both"/>
        <w:rPr>
          <w:rFonts w:ascii="Bookman Old Style" w:eastAsia="Times New Roman" w:hAnsi="Bookman Old Style"/>
          <w:bCs/>
          <w:sz w:val="18"/>
          <w:szCs w:val="18"/>
          <w:lang w:eastAsia="el-GR"/>
        </w:rPr>
      </w:pPr>
    </w:p>
    <w:p w:rsidR="005F4C59" w:rsidRPr="006B7A7A" w:rsidRDefault="000D74A2" w:rsidP="00242D54">
      <w:pPr>
        <w:tabs>
          <w:tab w:val="left" w:pos="5812"/>
        </w:tabs>
        <w:spacing w:after="0" w:line="200" w:lineRule="exact"/>
        <w:jc w:val="both"/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</w:pPr>
      <w:r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Για υποβολή </w:t>
      </w:r>
      <w:r w:rsidR="00845A46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αιτήσεων</w:t>
      </w:r>
      <w:r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 και περισσότερες πληροφορίες οι ενδιαφερόμενοι </w:t>
      </w:r>
      <w:r w:rsidR="00845A46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μπορούν</w:t>
      </w:r>
      <w:r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 να </w:t>
      </w:r>
      <w:r w:rsidR="00845A46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επικοινωνούν</w:t>
      </w:r>
      <w:r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 με την </w:t>
      </w:r>
      <w:r w:rsidR="00845A46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Διεύθυνσ</w:t>
      </w:r>
      <w:r w:rsidR="00D92514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η</w:t>
      </w:r>
      <w:r w:rsidR="001D7429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 Κοινωνικής Προστασίας</w:t>
      </w:r>
      <w:r w:rsidR="00D92514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, στα τηλέφωνα</w:t>
      </w:r>
      <w:r w:rsidR="002F41F1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 213.21</w:t>
      </w:r>
      <w:r w:rsidR="00F47978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00227</w:t>
      </w:r>
      <w:r w:rsidR="00855B53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/210.5982406</w:t>
      </w:r>
      <w:r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 από Δευτέρα ως </w:t>
      </w:r>
      <w:r w:rsidR="00845A46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Παρασκευή</w:t>
      </w:r>
      <w:r w:rsidR="009153EF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 και ώρες 08</w:t>
      </w:r>
      <w:r w:rsidR="00205469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.00</w:t>
      </w:r>
      <w:r w:rsidR="00DF4C64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 π.μ.</w:t>
      </w:r>
      <w:r w:rsidR="002F41F1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 – 14</w:t>
      </w:r>
      <w:r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.00</w:t>
      </w:r>
      <w:r w:rsidR="00DF4C64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 μ.μ</w:t>
      </w:r>
      <w:r w:rsidR="00845A46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>.</w:t>
      </w:r>
      <w:r w:rsidR="00700E45" w:rsidRPr="006B7A7A">
        <w:rPr>
          <w:rFonts w:ascii="Bookman Old Style" w:eastAsia="Times New Roman" w:hAnsi="Bookman Old Style"/>
          <w:b/>
          <w:bCs/>
          <w:sz w:val="20"/>
          <w:szCs w:val="20"/>
          <w:lang w:eastAsia="el-GR"/>
        </w:rPr>
        <w:t xml:space="preserve"> </w:t>
      </w:r>
      <w:bookmarkEnd w:id="0"/>
    </w:p>
    <w:sectPr w:rsidR="005F4C59" w:rsidRPr="006B7A7A" w:rsidSect="00A64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66EF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24D4A"/>
    <w:multiLevelType w:val="hybridMultilevel"/>
    <w:tmpl w:val="0472C12C"/>
    <w:lvl w:ilvl="0" w:tplc="D01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74AA3"/>
    <w:multiLevelType w:val="hybridMultilevel"/>
    <w:tmpl w:val="C7C085D0"/>
    <w:lvl w:ilvl="0" w:tplc="ED5209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94CD0"/>
    <w:multiLevelType w:val="multilevel"/>
    <w:tmpl w:val="FA68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427D09"/>
    <w:multiLevelType w:val="hybridMultilevel"/>
    <w:tmpl w:val="F52E9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D"/>
    <w:rsid w:val="00003C1F"/>
    <w:rsid w:val="000307AC"/>
    <w:rsid w:val="000723E7"/>
    <w:rsid w:val="00081DCF"/>
    <w:rsid w:val="000A6245"/>
    <w:rsid w:val="000B524C"/>
    <w:rsid w:val="000D74A2"/>
    <w:rsid w:val="000E09EF"/>
    <w:rsid w:val="000E394A"/>
    <w:rsid w:val="000F504C"/>
    <w:rsid w:val="00102104"/>
    <w:rsid w:val="001039A2"/>
    <w:rsid w:val="00117A59"/>
    <w:rsid w:val="00140C34"/>
    <w:rsid w:val="00144153"/>
    <w:rsid w:val="00162FB6"/>
    <w:rsid w:val="001649F6"/>
    <w:rsid w:val="0017413E"/>
    <w:rsid w:val="00174D24"/>
    <w:rsid w:val="00185EF2"/>
    <w:rsid w:val="00195222"/>
    <w:rsid w:val="001A20C6"/>
    <w:rsid w:val="001B583C"/>
    <w:rsid w:val="001C2445"/>
    <w:rsid w:val="001C3C80"/>
    <w:rsid w:val="001D0FAA"/>
    <w:rsid w:val="001D2EC3"/>
    <w:rsid w:val="001D7429"/>
    <w:rsid w:val="001D7580"/>
    <w:rsid w:val="00205469"/>
    <w:rsid w:val="00211530"/>
    <w:rsid w:val="00217231"/>
    <w:rsid w:val="0022254D"/>
    <w:rsid w:val="00235C34"/>
    <w:rsid w:val="00242D54"/>
    <w:rsid w:val="00247F79"/>
    <w:rsid w:val="002703A9"/>
    <w:rsid w:val="0029724E"/>
    <w:rsid w:val="002A4061"/>
    <w:rsid w:val="002A5DD2"/>
    <w:rsid w:val="002B51A9"/>
    <w:rsid w:val="002B6085"/>
    <w:rsid w:val="002D1FF9"/>
    <w:rsid w:val="002D2CF1"/>
    <w:rsid w:val="002D4474"/>
    <w:rsid w:val="002F41F1"/>
    <w:rsid w:val="00300899"/>
    <w:rsid w:val="00301DBA"/>
    <w:rsid w:val="00303091"/>
    <w:rsid w:val="00322315"/>
    <w:rsid w:val="00326265"/>
    <w:rsid w:val="003309BF"/>
    <w:rsid w:val="0033482B"/>
    <w:rsid w:val="0033707C"/>
    <w:rsid w:val="00343F44"/>
    <w:rsid w:val="0035318D"/>
    <w:rsid w:val="00354175"/>
    <w:rsid w:val="00382855"/>
    <w:rsid w:val="003904F8"/>
    <w:rsid w:val="00396345"/>
    <w:rsid w:val="003A2171"/>
    <w:rsid w:val="003B66AF"/>
    <w:rsid w:val="003B79EB"/>
    <w:rsid w:val="003C09F8"/>
    <w:rsid w:val="003F6A59"/>
    <w:rsid w:val="00401FBA"/>
    <w:rsid w:val="00407E0C"/>
    <w:rsid w:val="00413C2B"/>
    <w:rsid w:val="00420D05"/>
    <w:rsid w:val="004215BC"/>
    <w:rsid w:val="00422BDF"/>
    <w:rsid w:val="00437025"/>
    <w:rsid w:val="00441784"/>
    <w:rsid w:val="00444B72"/>
    <w:rsid w:val="00445DE7"/>
    <w:rsid w:val="0046511A"/>
    <w:rsid w:val="0046575C"/>
    <w:rsid w:val="00466C3D"/>
    <w:rsid w:val="00471F83"/>
    <w:rsid w:val="00472FBB"/>
    <w:rsid w:val="00477839"/>
    <w:rsid w:val="004B0469"/>
    <w:rsid w:val="004B6898"/>
    <w:rsid w:val="004B7AB8"/>
    <w:rsid w:val="004C7CF5"/>
    <w:rsid w:val="004D24C8"/>
    <w:rsid w:val="004D31A5"/>
    <w:rsid w:val="004E365E"/>
    <w:rsid w:val="00540F4C"/>
    <w:rsid w:val="0054623A"/>
    <w:rsid w:val="00554727"/>
    <w:rsid w:val="00565EC8"/>
    <w:rsid w:val="005717BB"/>
    <w:rsid w:val="00590081"/>
    <w:rsid w:val="005B1CCC"/>
    <w:rsid w:val="005B7440"/>
    <w:rsid w:val="005C05D3"/>
    <w:rsid w:val="005C1266"/>
    <w:rsid w:val="005F19C8"/>
    <w:rsid w:val="005F4C59"/>
    <w:rsid w:val="005F5CCE"/>
    <w:rsid w:val="00630DC9"/>
    <w:rsid w:val="0063520C"/>
    <w:rsid w:val="00637590"/>
    <w:rsid w:val="00655832"/>
    <w:rsid w:val="0066317C"/>
    <w:rsid w:val="00665879"/>
    <w:rsid w:val="0067164B"/>
    <w:rsid w:val="0067301A"/>
    <w:rsid w:val="00693F41"/>
    <w:rsid w:val="006951D7"/>
    <w:rsid w:val="006A15B3"/>
    <w:rsid w:val="006B3A6D"/>
    <w:rsid w:val="006B4ED4"/>
    <w:rsid w:val="006B7A7A"/>
    <w:rsid w:val="006C38A9"/>
    <w:rsid w:val="006D728A"/>
    <w:rsid w:val="00700E45"/>
    <w:rsid w:val="0072429D"/>
    <w:rsid w:val="00764499"/>
    <w:rsid w:val="0077180D"/>
    <w:rsid w:val="00784A48"/>
    <w:rsid w:val="00792E15"/>
    <w:rsid w:val="007B4638"/>
    <w:rsid w:val="007C1138"/>
    <w:rsid w:val="007D2409"/>
    <w:rsid w:val="007D4ECD"/>
    <w:rsid w:val="007F5700"/>
    <w:rsid w:val="0081344F"/>
    <w:rsid w:val="00820B60"/>
    <w:rsid w:val="008248B8"/>
    <w:rsid w:val="00842E5C"/>
    <w:rsid w:val="00843004"/>
    <w:rsid w:val="00845A46"/>
    <w:rsid w:val="00847154"/>
    <w:rsid w:val="00855B53"/>
    <w:rsid w:val="00872F52"/>
    <w:rsid w:val="0089649A"/>
    <w:rsid w:val="008A1528"/>
    <w:rsid w:val="008A343A"/>
    <w:rsid w:val="008D3599"/>
    <w:rsid w:val="0091424A"/>
    <w:rsid w:val="009153EF"/>
    <w:rsid w:val="00923C63"/>
    <w:rsid w:val="0093033C"/>
    <w:rsid w:val="009370BF"/>
    <w:rsid w:val="00941068"/>
    <w:rsid w:val="0095293A"/>
    <w:rsid w:val="00964673"/>
    <w:rsid w:val="0097553C"/>
    <w:rsid w:val="009A20BD"/>
    <w:rsid w:val="009A4DD3"/>
    <w:rsid w:val="009B56CA"/>
    <w:rsid w:val="009E0A78"/>
    <w:rsid w:val="009F6FFC"/>
    <w:rsid w:val="00A02399"/>
    <w:rsid w:val="00A10E9C"/>
    <w:rsid w:val="00A14DCE"/>
    <w:rsid w:val="00A217BB"/>
    <w:rsid w:val="00A3110D"/>
    <w:rsid w:val="00A372B8"/>
    <w:rsid w:val="00A4755B"/>
    <w:rsid w:val="00A642CF"/>
    <w:rsid w:val="00A719B7"/>
    <w:rsid w:val="00A77A5F"/>
    <w:rsid w:val="00A80E09"/>
    <w:rsid w:val="00A905B7"/>
    <w:rsid w:val="00AC7580"/>
    <w:rsid w:val="00AD13CA"/>
    <w:rsid w:val="00AE5BD8"/>
    <w:rsid w:val="00AE7401"/>
    <w:rsid w:val="00AF1551"/>
    <w:rsid w:val="00B0393D"/>
    <w:rsid w:val="00B046E9"/>
    <w:rsid w:val="00B14A74"/>
    <w:rsid w:val="00B169F3"/>
    <w:rsid w:val="00B45DBD"/>
    <w:rsid w:val="00B727C5"/>
    <w:rsid w:val="00B763A5"/>
    <w:rsid w:val="00B82A6F"/>
    <w:rsid w:val="00BA6EE1"/>
    <w:rsid w:val="00BB249A"/>
    <w:rsid w:val="00BD40E4"/>
    <w:rsid w:val="00BE1B91"/>
    <w:rsid w:val="00BE3D22"/>
    <w:rsid w:val="00BF0234"/>
    <w:rsid w:val="00BF409F"/>
    <w:rsid w:val="00BF7422"/>
    <w:rsid w:val="00C1082F"/>
    <w:rsid w:val="00C2651E"/>
    <w:rsid w:val="00C445B6"/>
    <w:rsid w:val="00C56002"/>
    <w:rsid w:val="00C64110"/>
    <w:rsid w:val="00C66224"/>
    <w:rsid w:val="00C9379B"/>
    <w:rsid w:val="00C949EC"/>
    <w:rsid w:val="00CA05C8"/>
    <w:rsid w:val="00CE09D5"/>
    <w:rsid w:val="00CF2F2F"/>
    <w:rsid w:val="00CF53F7"/>
    <w:rsid w:val="00D00E57"/>
    <w:rsid w:val="00D01CEF"/>
    <w:rsid w:val="00D038D1"/>
    <w:rsid w:val="00D03FA8"/>
    <w:rsid w:val="00D21FED"/>
    <w:rsid w:val="00D65DFB"/>
    <w:rsid w:val="00D92514"/>
    <w:rsid w:val="00DB65B7"/>
    <w:rsid w:val="00DE3631"/>
    <w:rsid w:val="00DE6CFB"/>
    <w:rsid w:val="00DF4C64"/>
    <w:rsid w:val="00DF5B15"/>
    <w:rsid w:val="00E16FFE"/>
    <w:rsid w:val="00E60BCB"/>
    <w:rsid w:val="00E71E0B"/>
    <w:rsid w:val="00E83D95"/>
    <w:rsid w:val="00E95357"/>
    <w:rsid w:val="00EB27AC"/>
    <w:rsid w:val="00EC40B7"/>
    <w:rsid w:val="00ED0920"/>
    <w:rsid w:val="00EE3C83"/>
    <w:rsid w:val="00EF2E3A"/>
    <w:rsid w:val="00EF39A2"/>
    <w:rsid w:val="00F043CF"/>
    <w:rsid w:val="00F17998"/>
    <w:rsid w:val="00F27837"/>
    <w:rsid w:val="00F40C67"/>
    <w:rsid w:val="00F41E7F"/>
    <w:rsid w:val="00F46EB5"/>
    <w:rsid w:val="00F46EFD"/>
    <w:rsid w:val="00F47978"/>
    <w:rsid w:val="00F47AC5"/>
    <w:rsid w:val="00F604FA"/>
    <w:rsid w:val="00F62C14"/>
    <w:rsid w:val="00F74E22"/>
    <w:rsid w:val="00F7589E"/>
    <w:rsid w:val="00F81367"/>
    <w:rsid w:val="00F9046D"/>
    <w:rsid w:val="00F90D5E"/>
    <w:rsid w:val="00F9175C"/>
    <w:rsid w:val="00FB24F6"/>
    <w:rsid w:val="00FB56E1"/>
    <w:rsid w:val="00FC4BEF"/>
    <w:rsid w:val="00FF141D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1EF86-0C40-4281-A056-D5AACCF0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354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l-GR"/>
    </w:rPr>
  </w:style>
  <w:style w:type="paragraph" w:styleId="2">
    <w:name w:val="heading 2"/>
    <w:basedOn w:val="a"/>
    <w:next w:val="a"/>
    <w:link w:val="2Char"/>
    <w:uiPriority w:val="9"/>
    <w:qFormat/>
    <w:rsid w:val="00AE5B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254D"/>
    <w:pPr>
      <w:autoSpaceDE w:val="0"/>
      <w:autoSpaceDN w:val="0"/>
      <w:ind w:left="284" w:right="284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Web">
    <w:name w:val="Normal (Web)"/>
    <w:basedOn w:val="a"/>
    <w:uiPriority w:val="99"/>
    <w:unhideWhenUsed/>
    <w:rsid w:val="00222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4E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7D4ECD"/>
    <w:rPr>
      <w:rFonts w:ascii="Tahoma" w:eastAsia="Calibri" w:hAnsi="Tahoma" w:cs="Tahoma"/>
      <w:sz w:val="16"/>
      <w:szCs w:val="16"/>
    </w:rPr>
  </w:style>
  <w:style w:type="character" w:customStyle="1" w:styleId="1Char">
    <w:name w:val="Επικεφαλίδα 1 Char"/>
    <w:link w:val="1"/>
    <w:uiPriority w:val="9"/>
    <w:rsid w:val="0035417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uiPriority w:val="99"/>
    <w:semiHidden/>
    <w:unhideWhenUsed/>
    <w:rsid w:val="00354175"/>
    <w:rPr>
      <w:color w:val="0000FF"/>
      <w:u w:val="single"/>
    </w:rPr>
  </w:style>
  <w:style w:type="character" w:customStyle="1" w:styleId="xbe">
    <w:name w:val="_xbe"/>
    <w:basedOn w:val="a0"/>
    <w:rsid w:val="00FF141D"/>
  </w:style>
  <w:style w:type="character" w:styleId="a4">
    <w:name w:val="Strong"/>
    <w:uiPriority w:val="22"/>
    <w:qFormat/>
    <w:rsid w:val="000E394A"/>
    <w:rPr>
      <w:b/>
      <w:bCs/>
    </w:rPr>
  </w:style>
  <w:style w:type="paragraph" w:customStyle="1" w:styleId="p1">
    <w:name w:val="p1"/>
    <w:basedOn w:val="a"/>
    <w:rsid w:val="00B16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2">
    <w:name w:val="p2"/>
    <w:basedOn w:val="a"/>
    <w:rsid w:val="00B16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s1">
    <w:name w:val="s1"/>
    <w:basedOn w:val="a0"/>
    <w:rsid w:val="00B169F3"/>
  </w:style>
  <w:style w:type="character" w:customStyle="1" w:styleId="2Char">
    <w:name w:val="Επικεφαλίδα 2 Char"/>
    <w:link w:val="2"/>
    <w:uiPriority w:val="9"/>
    <w:semiHidden/>
    <w:rsid w:val="00AE5BD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5">
    <w:name w:val="Table Grid"/>
    <w:basedOn w:val="a1"/>
    <w:uiPriority w:val="59"/>
    <w:rsid w:val="002703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galeo.gr/egaleo/imgs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aleo.gr/egaleo/default.a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12E0-6AD6-4E29-994D-635C1E0B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</CharactersWithSpaces>
  <SharedDoc>false</SharedDoc>
  <HLinks>
    <vt:vector size="12" baseType="variant">
      <vt:variant>
        <vt:i4>7143546</vt:i4>
      </vt:variant>
      <vt:variant>
        <vt:i4>-1</vt:i4>
      </vt:variant>
      <vt:variant>
        <vt:i4>1026</vt:i4>
      </vt:variant>
      <vt:variant>
        <vt:i4>4</vt:i4>
      </vt:variant>
      <vt:variant>
        <vt:lpwstr>http://www.egaleo.gr/egaleo/default.asp</vt:lpwstr>
      </vt:variant>
      <vt:variant>
        <vt:lpwstr/>
      </vt:variant>
      <vt:variant>
        <vt:i4>655454</vt:i4>
      </vt:variant>
      <vt:variant>
        <vt:i4>-1</vt:i4>
      </vt:variant>
      <vt:variant>
        <vt:i4>1026</vt:i4>
      </vt:variant>
      <vt:variant>
        <vt:i4>1</vt:i4>
      </vt:variant>
      <vt:variant>
        <vt:lpwstr>http://www.egaleo.gr/egaleo/imgs/logo.gif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Ioannis G. Kastrisios</cp:lastModifiedBy>
  <cp:revision>2</cp:revision>
  <cp:lastPrinted>2020-07-31T05:28:00Z</cp:lastPrinted>
  <dcterms:created xsi:type="dcterms:W3CDTF">2021-07-26T10:20:00Z</dcterms:created>
  <dcterms:modified xsi:type="dcterms:W3CDTF">2021-07-26T10:20:00Z</dcterms:modified>
</cp:coreProperties>
</file>